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D6" w:rsidRDefault="00EF79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6125"/>
      </w:tblGrid>
      <w:tr w:rsidR="00EF79D6" w:rsidTr="00AB4335">
        <w:tc>
          <w:tcPr>
            <w:tcW w:w="9288" w:type="dxa"/>
            <w:gridSpan w:val="2"/>
            <w:shd w:val="clear" w:color="auto" w:fill="auto"/>
          </w:tcPr>
          <w:p w:rsidR="00EF79D6" w:rsidRDefault="00EF79D6"/>
          <w:p w:rsidR="00EF79D6" w:rsidRPr="00AB4335" w:rsidRDefault="00EF79D6" w:rsidP="00AB4335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IZVJEŠĆE O PROVEDENOM SAVJETOVANJU SA ZAINTERESIRANOM </w:t>
            </w:r>
          </w:p>
          <w:p w:rsidR="00EF79D6" w:rsidRPr="00AB4335" w:rsidRDefault="00EF79D6" w:rsidP="00F12524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JAVNOŠĆU O NACRTU PRIJEDLOGA </w:t>
            </w:r>
            <w:r w:rsidR="0028267C">
              <w:rPr>
                <w:b/>
              </w:rPr>
              <w:br/>
              <w:t xml:space="preserve">Pravilnika II za provedbu mjera razvoja poljoprivredne proizvodnje Krapinsko- zagorske županije za 2020. </w:t>
            </w:r>
          </w:p>
          <w:p w:rsidR="00EF79D6" w:rsidRPr="00AB4335" w:rsidRDefault="00EF79D6" w:rsidP="00AB4335">
            <w:pPr>
              <w:jc w:val="center"/>
              <w:rPr>
                <w:b/>
              </w:rPr>
            </w:pP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E7AB0" w:rsidRDefault="004C0048">
            <w:pPr>
              <w:rPr>
                <w:b/>
              </w:rPr>
            </w:pPr>
          </w:p>
          <w:p w:rsidR="004131A2" w:rsidRPr="00AE7AB0" w:rsidRDefault="004C0048">
            <w:pPr>
              <w:rPr>
                <w:b/>
              </w:rPr>
            </w:pPr>
            <w:r w:rsidRPr="00AE7AB0">
              <w:rPr>
                <w:b/>
              </w:rPr>
              <w:t>Naslov dokumenta</w:t>
            </w:r>
          </w:p>
        </w:tc>
        <w:tc>
          <w:tcPr>
            <w:tcW w:w="6300" w:type="dxa"/>
            <w:shd w:val="clear" w:color="auto" w:fill="auto"/>
          </w:tcPr>
          <w:p w:rsidR="0028267C" w:rsidRPr="00AE7AB0" w:rsidRDefault="004131A2" w:rsidP="0028267C">
            <w:pPr>
              <w:jc w:val="both"/>
            </w:pPr>
            <w:r w:rsidRPr="00AE7AB0">
              <w:t xml:space="preserve">Nacrt prijedloga </w:t>
            </w:r>
            <w:r w:rsidR="0028267C" w:rsidRPr="00AE7AB0">
              <w:t xml:space="preserve">Pravilnika II za provedbu mjera razvoja poljoprivredne proizvodnje Krapinsko- zagorske županije za 2020. </w:t>
            </w:r>
          </w:p>
          <w:p w:rsidR="004131A2" w:rsidRDefault="004131A2" w:rsidP="00ED3FE0">
            <w:pPr>
              <w:jc w:val="both"/>
            </w:pP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131A2" w:rsidRPr="00AE7AB0" w:rsidRDefault="004C0048">
            <w:pPr>
              <w:rPr>
                <w:b/>
              </w:rPr>
            </w:pPr>
            <w:r w:rsidRPr="00AE7AB0">
              <w:rPr>
                <w:b/>
              </w:rPr>
              <w:t>Stvaratelj dokumenta, tijelo</w:t>
            </w:r>
            <w:r w:rsidR="004131A2" w:rsidRPr="00AE7AB0">
              <w:rPr>
                <w:b/>
              </w:rPr>
              <w:t xml:space="preserve"> </w:t>
            </w:r>
            <w:r w:rsidRPr="00AE7AB0">
              <w:rPr>
                <w:b/>
              </w:rPr>
              <w:t xml:space="preserve">koje je </w:t>
            </w:r>
            <w:r w:rsidR="002B7482" w:rsidRPr="00AE7AB0">
              <w:rPr>
                <w:b/>
              </w:rPr>
              <w:t>provelo</w:t>
            </w:r>
            <w:r w:rsidR="004131A2" w:rsidRPr="00AE7AB0">
              <w:rPr>
                <w:b/>
              </w:rPr>
              <w:t xml:space="preserve"> savjetovanje</w:t>
            </w:r>
          </w:p>
        </w:tc>
        <w:tc>
          <w:tcPr>
            <w:tcW w:w="6300" w:type="dxa"/>
            <w:shd w:val="clear" w:color="auto" w:fill="auto"/>
          </w:tcPr>
          <w:p w:rsidR="004131A2" w:rsidRDefault="004131A2">
            <w:r>
              <w:t xml:space="preserve">Upravni odjel za </w:t>
            </w:r>
            <w:r w:rsidR="0028267C">
              <w:t xml:space="preserve">gospodarstvo, poljoprivredu, turizam, promet i komunalnu infrastrukturu </w:t>
            </w: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E7AB0" w:rsidRDefault="004C0048">
            <w:pPr>
              <w:rPr>
                <w:b/>
              </w:rPr>
            </w:pPr>
          </w:p>
          <w:p w:rsidR="004131A2" w:rsidRPr="00AE7AB0" w:rsidRDefault="004131A2">
            <w:pPr>
              <w:rPr>
                <w:b/>
              </w:rPr>
            </w:pPr>
            <w:r w:rsidRPr="00AE7AB0">
              <w:rPr>
                <w:b/>
              </w:rPr>
              <w:t>Svrha dokumenta</w:t>
            </w:r>
          </w:p>
        </w:tc>
        <w:tc>
          <w:tcPr>
            <w:tcW w:w="6300" w:type="dxa"/>
            <w:shd w:val="clear" w:color="auto" w:fill="auto"/>
          </w:tcPr>
          <w:p w:rsidR="0028267C" w:rsidRDefault="0028267C" w:rsidP="0028267C">
            <w:pPr>
              <w:jc w:val="both"/>
            </w:pPr>
            <w:r>
              <w:t xml:space="preserve">Stvaranje preduvjeta </w:t>
            </w:r>
            <w:r w:rsidRPr="0028267C">
              <w:t xml:space="preserve"> za djelotvornu provedbu mjera razvoja poljoprivredne proizvodnje kroz dodjelu financijskih potpora usklađenih s uredbom Komisije EU br. 1407/2013., o primijeni članka 107. i 108. Ugovora o funkcioniranju Europske unije na potpore de </w:t>
            </w:r>
            <w:proofErr w:type="spellStart"/>
            <w:r w:rsidRPr="0028267C">
              <w:t>minimis</w:t>
            </w:r>
            <w:proofErr w:type="spellEnd"/>
            <w:r w:rsidRPr="0028267C">
              <w:t xml:space="preserve"> (Službeni list Europske unije, L1352, 18. prosinca 2013. godine)</w:t>
            </w:r>
          </w:p>
          <w:p w:rsidR="00AE7AB0" w:rsidRDefault="00AE7AB0" w:rsidP="0028267C">
            <w:pPr>
              <w:jc w:val="both"/>
            </w:pPr>
          </w:p>
        </w:tc>
      </w:tr>
      <w:tr w:rsidR="00E36D24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E7AB0" w:rsidRDefault="004C0048">
            <w:pPr>
              <w:rPr>
                <w:b/>
              </w:rPr>
            </w:pPr>
          </w:p>
          <w:p w:rsidR="00E36D24" w:rsidRPr="00AE7AB0" w:rsidRDefault="00E36D24">
            <w:pPr>
              <w:rPr>
                <w:b/>
              </w:rPr>
            </w:pPr>
            <w:r w:rsidRPr="00AE7AB0">
              <w:rPr>
                <w:b/>
              </w:rPr>
              <w:t>Radna skupina za izradu Nacrta</w:t>
            </w:r>
          </w:p>
        </w:tc>
        <w:tc>
          <w:tcPr>
            <w:tcW w:w="6300" w:type="dxa"/>
            <w:shd w:val="clear" w:color="auto" w:fill="auto"/>
          </w:tcPr>
          <w:p w:rsidR="00DE57BA" w:rsidRDefault="00DE57BA">
            <w:r>
              <w:t>Nije imenovana posebna radna skupina.</w:t>
            </w:r>
          </w:p>
          <w:p w:rsidR="0028267C" w:rsidRDefault="0028267C">
            <w:r>
              <w:t xml:space="preserve"> mr. Sanja Mihovilić, pročelnica Upravnog odjela za </w:t>
            </w:r>
            <w:r w:rsidRPr="0028267C">
              <w:t>gospodarstvo, poljoprivredu, turizam, promet i komunalnu infrastrukturu</w:t>
            </w:r>
            <w:r w:rsidR="00AE7AB0">
              <w:t>; Ivanka Kuščar -v</w:t>
            </w:r>
            <w:r>
              <w:t>iša stručna suradnica za poljoprivredu</w:t>
            </w:r>
            <w:r w:rsidR="00AE7AB0">
              <w:t>; Tihana Husak – savjetnica za pravne poslove</w:t>
            </w:r>
          </w:p>
          <w:p w:rsidR="00E36D24" w:rsidRDefault="00E36D24"/>
        </w:tc>
      </w:tr>
      <w:tr w:rsidR="00FC1407" w:rsidTr="00AB4335">
        <w:trPr>
          <w:trHeight w:val="135"/>
        </w:trPr>
        <w:tc>
          <w:tcPr>
            <w:tcW w:w="2988" w:type="dxa"/>
            <w:vMerge w:val="restart"/>
            <w:shd w:val="clear" w:color="auto" w:fill="auto"/>
          </w:tcPr>
          <w:p w:rsidR="00FC1407" w:rsidRPr="00AE7AB0" w:rsidRDefault="00FC1407">
            <w:pPr>
              <w:rPr>
                <w:b/>
              </w:rPr>
            </w:pPr>
          </w:p>
          <w:p w:rsidR="00FC1407" w:rsidRPr="00AE7AB0" w:rsidRDefault="00FC1407">
            <w:pPr>
              <w:rPr>
                <w:b/>
              </w:rPr>
            </w:pPr>
            <w:r w:rsidRPr="00AE7AB0">
              <w:rPr>
                <w:b/>
              </w:rPr>
              <w:t>Internetska stranica na kojoj je bio objavljen javni poziv</w:t>
            </w:r>
          </w:p>
        </w:tc>
        <w:tc>
          <w:tcPr>
            <w:tcW w:w="6300" w:type="dxa"/>
            <w:shd w:val="clear" w:color="auto" w:fill="auto"/>
          </w:tcPr>
          <w:p w:rsidR="00FC1407" w:rsidRDefault="00D43791">
            <w:hyperlink r:id="rId7" w:history="1">
              <w:r w:rsidR="00FC1407" w:rsidRPr="00AB4335">
                <w:rPr>
                  <w:rStyle w:val="Hiperveza"/>
                  <w:b/>
                </w:rPr>
                <w:t>www.kzz.hr</w:t>
              </w:r>
            </w:hyperlink>
            <w:r w:rsidR="00FC1407">
              <w:t xml:space="preserve"> internetska stranica Krapinsko-zagorske</w:t>
            </w:r>
            <w:r w:rsidR="00DE57BA">
              <w:t xml:space="preserve"> </w:t>
            </w:r>
            <w:r w:rsidR="00FC1407">
              <w:t>županije</w:t>
            </w:r>
          </w:p>
          <w:p w:rsidR="00AE7AB0" w:rsidRDefault="00AE7AB0"/>
        </w:tc>
      </w:tr>
      <w:tr w:rsidR="00FC1407" w:rsidTr="00AB4335">
        <w:trPr>
          <w:trHeight w:val="135"/>
        </w:trPr>
        <w:tc>
          <w:tcPr>
            <w:tcW w:w="2988" w:type="dxa"/>
            <w:vMerge/>
            <w:shd w:val="clear" w:color="auto" w:fill="auto"/>
          </w:tcPr>
          <w:p w:rsidR="00FC1407" w:rsidRPr="00AE7AB0" w:rsidRDefault="00FC1407">
            <w:pPr>
              <w:rPr>
                <w:b/>
              </w:rPr>
            </w:pPr>
          </w:p>
        </w:tc>
        <w:tc>
          <w:tcPr>
            <w:tcW w:w="6300" w:type="dxa"/>
            <w:shd w:val="clear" w:color="auto" w:fill="auto"/>
          </w:tcPr>
          <w:p w:rsidR="00FC1407" w:rsidRDefault="00FC1407">
            <w:r>
              <w:t xml:space="preserve">Internetsko savjetovanje sa zainteresiranom javnošću trajalo je </w:t>
            </w:r>
            <w:r w:rsidR="00AE7AB0">
              <w:t>od 08. siječnja 2020</w:t>
            </w:r>
            <w:r>
              <w:t xml:space="preserve">. do </w:t>
            </w:r>
            <w:r w:rsidR="00AE7AB0">
              <w:t>07</w:t>
            </w:r>
            <w:r>
              <w:t xml:space="preserve">. </w:t>
            </w:r>
            <w:r w:rsidR="00AE7AB0">
              <w:t xml:space="preserve"> veljače  2020</w:t>
            </w:r>
            <w:r>
              <w:t>. godine</w:t>
            </w:r>
          </w:p>
          <w:p w:rsidR="00AE7AB0" w:rsidRDefault="00AE7AB0"/>
        </w:tc>
      </w:tr>
      <w:tr w:rsidR="009B6BBA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9B6BBA" w:rsidRPr="00AE7AB0" w:rsidRDefault="009B6BBA">
            <w:pPr>
              <w:rPr>
                <w:b/>
              </w:rPr>
            </w:pPr>
            <w:r w:rsidRPr="00AE7AB0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300" w:type="dxa"/>
            <w:shd w:val="clear" w:color="auto" w:fill="auto"/>
          </w:tcPr>
          <w:p w:rsidR="009F02E7" w:rsidRPr="00AE7AB0" w:rsidRDefault="00AE7AB0" w:rsidP="00F36EC9">
            <w:pPr>
              <w:jc w:val="both"/>
            </w:pPr>
            <w:r w:rsidRPr="00AE7AB0">
              <w:t xml:space="preserve">1.  Nedeljko </w:t>
            </w:r>
            <w:proofErr w:type="spellStart"/>
            <w:r w:rsidRPr="00AE7AB0">
              <w:t>Trgovec</w:t>
            </w:r>
            <w:proofErr w:type="spellEnd"/>
            <w:r w:rsidRPr="00AE7AB0">
              <w:t xml:space="preserve">, </w:t>
            </w:r>
          </w:p>
          <w:p w:rsidR="00AE7AB0" w:rsidRPr="00AE7AB0" w:rsidRDefault="00AE7AB0" w:rsidP="00F36EC9">
            <w:pPr>
              <w:jc w:val="both"/>
            </w:pPr>
            <w:r w:rsidRPr="00AE7AB0">
              <w:t xml:space="preserve">2. Građanin (bez javne objave podataka na zahtjev </w:t>
            </w:r>
          </w:p>
          <w:p w:rsidR="00AE7AB0" w:rsidRPr="00AE7AB0" w:rsidRDefault="00AE7AB0" w:rsidP="00F36EC9">
            <w:pPr>
              <w:jc w:val="both"/>
            </w:pPr>
            <w:r w:rsidRPr="00AE7AB0">
              <w:t xml:space="preserve">     podnositelja)</w:t>
            </w:r>
          </w:p>
          <w:p w:rsidR="00AE7AB0" w:rsidRPr="00AE7AB0" w:rsidRDefault="00AE7AB0" w:rsidP="00F36EC9">
            <w:pPr>
              <w:jc w:val="both"/>
            </w:pPr>
            <w:r w:rsidRPr="00AE7AB0">
              <w:t xml:space="preserve">3.  Dario </w:t>
            </w:r>
            <w:proofErr w:type="spellStart"/>
            <w:r w:rsidRPr="00AE7AB0">
              <w:t>Benko</w:t>
            </w:r>
            <w:proofErr w:type="spellEnd"/>
            <w:r w:rsidRPr="00AE7AB0">
              <w:t>,</w:t>
            </w:r>
          </w:p>
          <w:p w:rsidR="00AE7AB0" w:rsidRDefault="00AE7AB0" w:rsidP="00F36EC9">
            <w:pPr>
              <w:jc w:val="both"/>
            </w:pPr>
            <w:r w:rsidRPr="00AE7AB0">
              <w:t xml:space="preserve">4.  Zlatko </w:t>
            </w:r>
            <w:proofErr w:type="spellStart"/>
            <w:r w:rsidRPr="00AE7AB0">
              <w:t>Benko</w:t>
            </w:r>
            <w:proofErr w:type="spellEnd"/>
          </w:p>
          <w:p w:rsidR="00AE7AB0" w:rsidRPr="00425CBF" w:rsidRDefault="00AE7AB0" w:rsidP="00F36EC9">
            <w:pPr>
              <w:jc w:val="both"/>
              <w:rPr>
                <w:b/>
              </w:rPr>
            </w:pPr>
          </w:p>
        </w:tc>
      </w:tr>
      <w:tr w:rsidR="002B748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2B7482" w:rsidRPr="00AE7AB0" w:rsidRDefault="002B7482">
            <w:pPr>
              <w:rPr>
                <w:b/>
              </w:rPr>
            </w:pPr>
            <w:r w:rsidRPr="00AE7AB0">
              <w:rPr>
                <w:b/>
              </w:rPr>
              <w:t>Prihvaćene/ne prihvaćene primjedbe</w:t>
            </w:r>
          </w:p>
        </w:tc>
        <w:tc>
          <w:tcPr>
            <w:tcW w:w="6300" w:type="dxa"/>
            <w:shd w:val="clear" w:color="auto" w:fill="auto"/>
          </w:tcPr>
          <w:p w:rsidR="002B7482" w:rsidRDefault="002B7482" w:rsidP="00F1528B">
            <w:pPr>
              <w:jc w:val="both"/>
            </w:pPr>
            <w:r>
              <w:t xml:space="preserve">Objedinjene su u priloženom </w:t>
            </w:r>
            <w:r w:rsidR="00F1528B">
              <w:t xml:space="preserve">obrascu </w:t>
            </w:r>
            <w:r>
              <w:t>Savjetovanj</w:t>
            </w:r>
            <w:r w:rsidR="00F1528B">
              <w:t>e</w:t>
            </w:r>
            <w:r>
              <w:t xml:space="preserve"> sa zainteresiranom javnošću</w:t>
            </w:r>
          </w:p>
          <w:p w:rsidR="00AE7AB0" w:rsidRDefault="00AE7AB0" w:rsidP="00F1528B">
            <w:pPr>
              <w:jc w:val="both"/>
            </w:pPr>
          </w:p>
        </w:tc>
      </w:tr>
      <w:tr w:rsidR="002B748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2B7482" w:rsidRPr="00AE7AB0" w:rsidRDefault="002B7482">
            <w:pPr>
              <w:rPr>
                <w:b/>
              </w:rPr>
            </w:pPr>
            <w:r w:rsidRPr="00AE7AB0">
              <w:rPr>
                <w:b/>
              </w:rPr>
              <w:t>Troškovi provedenog savjetovanja</w:t>
            </w:r>
          </w:p>
        </w:tc>
        <w:tc>
          <w:tcPr>
            <w:tcW w:w="6300" w:type="dxa"/>
            <w:shd w:val="clear" w:color="auto" w:fill="auto"/>
          </w:tcPr>
          <w:p w:rsidR="002B7482" w:rsidRDefault="002B7482">
            <w:r>
              <w:t xml:space="preserve">Provedba javnog savjetovanja nije iziskivala </w:t>
            </w:r>
            <w:r w:rsidR="001D1BFD">
              <w:t xml:space="preserve">dodatne </w:t>
            </w:r>
            <w:r>
              <w:t>financijske troškove</w:t>
            </w:r>
          </w:p>
          <w:p w:rsidR="00AE7AB0" w:rsidRDefault="00AE7AB0"/>
        </w:tc>
      </w:tr>
    </w:tbl>
    <w:p w:rsidR="00990485" w:rsidRDefault="00990485" w:rsidP="00F613AE">
      <w:pPr>
        <w:sectPr w:rsidR="00990485" w:rsidSect="00510DCA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990485" w:rsidRPr="00A91D8E" w:rsidRDefault="00990485" w:rsidP="00990485">
      <w:pPr>
        <w:rPr>
          <w:b/>
        </w:rPr>
      </w:pPr>
      <w:r w:rsidRPr="00A91D8E">
        <w:rPr>
          <w:b/>
        </w:rPr>
        <w:lastRenderedPageBreak/>
        <w:t>KRAPINSKO-ZAGORSKA ŽUPANIJA</w:t>
      </w:r>
      <w:r w:rsidRPr="00A91D8E">
        <w:rPr>
          <w:b/>
        </w:rPr>
        <w:br/>
        <w:t>Upravni odjel za gospodarstvo, poljoprivredu, turizam,</w:t>
      </w:r>
    </w:p>
    <w:p w:rsidR="00990485" w:rsidRPr="00A91D8E" w:rsidRDefault="00990485" w:rsidP="00990485">
      <w:pPr>
        <w:tabs>
          <w:tab w:val="center" w:pos="7002"/>
        </w:tabs>
        <w:rPr>
          <w:b/>
        </w:rPr>
      </w:pPr>
      <w:r w:rsidRPr="00A91D8E">
        <w:rPr>
          <w:b/>
        </w:rPr>
        <w:t>promet i komunalnu infrastrukturu</w:t>
      </w:r>
    </w:p>
    <w:p w:rsidR="00990485" w:rsidRPr="00A91D8E" w:rsidRDefault="00990485" w:rsidP="0099048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0"/>
      </w:tblGrid>
      <w:tr w:rsidR="00990485" w:rsidRPr="00A91D8E" w:rsidTr="008D734E">
        <w:trPr>
          <w:trHeight w:val="868"/>
        </w:trPr>
        <w:tc>
          <w:tcPr>
            <w:tcW w:w="14220" w:type="dxa"/>
            <w:shd w:val="clear" w:color="auto" w:fill="E2EFD9" w:themeFill="accent6" w:themeFillTint="33"/>
          </w:tcPr>
          <w:p w:rsidR="00990485" w:rsidRPr="00A91D8E" w:rsidRDefault="00990485" w:rsidP="008D734E"/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SAVJETOVANJE SA ZAINTERESIRANOM JAVNOŠĆU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</w:p>
        </w:tc>
      </w:tr>
      <w:tr w:rsidR="00990485" w:rsidRPr="00A91D8E" w:rsidTr="008D734E">
        <w:tc>
          <w:tcPr>
            <w:tcW w:w="14220" w:type="dxa"/>
            <w:shd w:val="clear" w:color="auto" w:fill="auto"/>
          </w:tcPr>
          <w:p w:rsidR="00990485" w:rsidRPr="00A91D8E" w:rsidRDefault="00990485" w:rsidP="008D734E"/>
          <w:p w:rsidR="00990485" w:rsidRPr="00A91D8E" w:rsidRDefault="00990485" w:rsidP="008D734E">
            <w:pPr>
              <w:jc w:val="center"/>
              <w:rPr>
                <w:b/>
                <w:i/>
              </w:rPr>
            </w:pPr>
            <w:r w:rsidRPr="00A91D8E">
              <w:rPr>
                <w:b/>
                <w:i/>
              </w:rPr>
              <w:t>Nacrt prijedloga Pravilnika II. za provedbu mjera razvoja poljoprivredne proizvodnje Krapinsko-zagorske županije za 2020. godinu</w:t>
            </w:r>
          </w:p>
        </w:tc>
      </w:tr>
      <w:tr w:rsidR="00990485" w:rsidRPr="00A91D8E" w:rsidTr="008D734E">
        <w:tc>
          <w:tcPr>
            <w:tcW w:w="14220" w:type="dxa"/>
            <w:shd w:val="clear" w:color="auto" w:fill="auto"/>
          </w:tcPr>
          <w:p w:rsidR="00990485" w:rsidRPr="00A91D8E" w:rsidRDefault="00990485" w:rsidP="008D734E"/>
          <w:p w:rsidR="00990485" w:rsidRPr="00A91D8E" w:rsidRDefault="00990485" w:rsidP="008D734E">
            <w:pPr>
              <w:jc w:val="both"/>
              <w:rPr>
                <w:i/>
              </w:rPr>
            </w:pPr>
            <w:r w:rsidRPr="00A91D8E">
              <w:rPr>
                <w:i/>
              </w:rPr>
              <w:t>Krapinsko-zagorska županija objavljuje objedinjene primjedbe zaprimljene od strane predstavnika zainteresirane javnosti koji su dostavili primjedbe na Nacrt prijedloga Pravilnika</w:t>
            </w:r>
            <w:r w:rsidRPr="00A91D8E">
              <w:rPr>
                <w:b/>
                <w:i/>
              </w:rPr>
              <w:t xml:space="preserve"> </w:t>
            </w:r>
            <w:r w:rsidRPr="00A91D8E">
              <w:rPr>
                <w:i/>
              </w:rPr>
              <w:t>II. za provedbu mjera razvoja poljoprivredne proizvodnje Krapinsko-zagorske županije za 2020. godinu u razdoblju od 08. siječnja do 07. veljače 2020. godine.</w:t>
            </w:r>
          </w:p>
          <w:p w:rsidR="00990485" w:rsidRPr="00A91D8E" w:rsidRDefault="00990485" w:rsidP="008D734E">
            <w:pPr>
              <w:jc w:val="both"/>
              <w:rPr>
                <w:i/>
              </w:rPr>
            </w:pPr>
          </w:p>
        </w:tc>
      </w:tr>
    </w:tbl>
    <w:p w:rsidR="00990485" w:rsidRPr="00A91D8E" w:rsidRDefault="00990485" w:rsidP="00990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901"/>
        <w:gridCol w:w="1695"/>
        <w:gridCol w:w="5458"/>
        <w:gridCol w:w="4250"/>
      </w:tblGrid>
      <w:tr w:rsidR="00990485" w:rsidRPr="00A91D8E" w:rsidTr="008D734E">
        <w:tc>
          <w:tcPr>
            <w:tcW w:w="690" w:type="dxa"/>
            <w:shd w:val="clear" w:color="auto" w:fill="E2EFD9" w:themeFill="accent6" w:themeFillTint="33"/>
          </w:tcPr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Red.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br.</w:t>
            </w:r>
          </w:p>
        </w:tc>
        <w:tc>
          <w:tcPr>
            <w:tcW w:w="1901" w:type="dxa"/>
            <w:shd w:val="clear" w:color="auto" w:fill="E2EFD9" w:themeFill="accent6" w:themeFillTint="33"/>
          </w:tcPr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Naziv dionika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(pojedinac, organizacija, institucija)</w:t>
            </w:r>
          </w:p>
        </w:tc>
        <w:tc>
          <w:tcPr>
            <w:tcW w:w="1695" w:type="dxa"/>
            <w:shd w:val="clear" w:color="auto" w:fill="E2EFD9" w:themeFill="accent6" w:themeFillTint="33"/>
          </w:tcPr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Članak na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koji se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odnosi primjedba/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prijedlog</w:t>
            </w:r>
          </w:p>
        </w:tc>
        <w:tc>
          <w:tcPr>
            <w:tcW w:w="5458" w:type="dxa"/>
            <w:shd w:val="clear" w:color="auto" w:fill="E2EFD9" w:themeFill="accent6" w:themeFillTint="33"/>
          </w:tcPr>
          <w:p w:rsidR="00990485" w:rsidRPr="00A91D8E" w:rsidRDefault="00990485" w:rsidP="008D734E">
            <w:pPr>
              <w:jc w:val="center"/>
            </w:pPr>
          </w:p>
          <w:p w:rsidR="00990485" w:rsidRPr="00A91D8E" w:rsidRDefault="00990485" w:rsidP="008D734E">
            <w:pPr>
              <w:jc w:val="center"/>
            </w:pP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Tekst primjedbe / prijedloga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</w:p>
        </w:tc>
        <w:tc>
          <w:tcPr>
            <w:tcW w:w="4250" w:type="dxa"/>
            <w:shd w:val="clear" w:color="auto" w:fill="E2EFD9" w:themeFill="accent6" w:themeFillTint="33"/>
          </w:tcPr>
          <w:p w:rsidR="00990485" w:rsidRDefault="00990485" w:rsidP="008D734E">
            <w:pPr>
              <w:jc w:val="center"/>
              <w:rPr>
                <w:b/>
              </w:rPr>
            </w:pP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Razlog prihvaćanja/</w:t>
            </w:r>
          </w:p>
          <w:p w:rsidR="00990485" w:rsidRPr="00A91D8E" w:rsidRDefault="00990485" w:rsidP="008D734E">
            <w:pPr>
              <w:jc w:val="center"/>
              <w:rPr>
                <w:b/>
              </w:rPr>
            </w:pPr>
            <w:r w:rsidRPr="00A91D8E">
              <w:rPr>
                <w:b/>
              </w:rPr>
              <w:t>neprihvaćanja primjedbe ili prijedloga</w:t>
            </w:r>
          </w:p>
        </w:tc>
      </w:tr>
      <w:tr w:rsidR="00990485" w:rsidRPr="008E325B" w:rsidTr="008D734E">
        <w:tc>
          <w:tcPr>
            <w:tcW w:w="690" w:type="dxa"/>
            <w:shd w:val="clear" w:color="auto" w:fill="auto"/>
          </w:tcPr>
          <w:p w:rsidR="00990485" w:rsidRPr="008E325B" w:rsidRDefault="00990485" w:rsidP="008D734E">
            <w:pPr>
              <w:rPr>
                <w:b/>
              </w:rPr>
            </w:pPr>
            <w:r w:rsidRPr="008E325B">
              <w:rPr>
                <w:b/>
              </w:rPr>
              <w:t>1.</w:t>
            </w:r>
          </w:p>
        </w:tc>
        <w:tc>
          <w:tcPr>
            <w:tcW w:w="1901" w:type="dxa"/>
            <w:shd w:val="clear" w:color="auto" w:fill="auto"/>
          </w:tcPr>
          <w:p w:rsidR="00990485" w:rsidRPr="008E325B" w:rsidRDefault="00990485" w:rsidP="008D734E">
            <w:pPr>
              <w:rPr>
                <w:b/>
              </w:rPr>
            </w:pPr>
            <w:r w:rsidRPr="008E325B">
              <w:rPr>
                <w:b/>
              </w:rPr>
              <w:t xml:space="preserve">Nedeljko </w:t>
            </w:r>
            <w:proofErr w:type="spellStart"/>
            <w:r w:rsidRPr="008E325B">
              <w:rPr>
                <w:b/>
              </w:rPr>
              <w:t>Trgovec</w:t>
            </w:r>
            <w:proofErr w:type="spellEnd"/>
            <w:r w:rsidRPr="008E325B">
              <w:rPr>
                <w:b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990485" w:rsidRPr="008E325B" w:rsidRDefault="00990485" w:rsidP="008D734E">
            <w:r w:rsidRPr="008E325B">
              <w:t xml:space="preserve">    </w:t>
            </w:r>
          </w:p>
          <w:p w:rsidR="00990485" w:rsidRPr="008E325B" w:rsidRDefault="00990485" w:rsidP="008D734E">
            <w:r w:rsidRPr="008E325B">
              <w:t>Članak 10. , stavak 1. i 3. Pravilnika</w:t>
            </w:r>
          </w:p>
        </w:tc>
        <w:tc>
          <w:tcPr>
            <w:tcW w:w="5458" w:type="dxa"/>
            <w:shd w:val="clear" w:color="auto" w:fill="auto"/>
          </w:tcPr>
          <w:p w:rsidR="00990485" w:rsidRPr="008E325B" w:rsidRDefault="00990485" w:rsidP="008D734E">
            <w:pPr>
              <w:autoSpaceDE w:val="0"/>
              <w:autoSpaceDN w:val="0"/>
              <w:adjustRightInd w:val="0"/>
              <w:jc w:val="both"/>
            </w:pPr>
            <w:r w:rsidRPr="008E325B">
              <w:t xml:space="preserve"> Predlažem da se u Pravilniku u člancima koji reguliraju uvjete prihvatljivosti, a koji se odnose na preradu i stavljanje prerađevina na tržište, svakako implementira članak koji bi se odnosio na sljedeće:</w:t>
            </w:r>
          </w:p>
          <w:p w:rsidR="00990485" w:rsidRPr="008E325B" w:rsidRDefault="00990485" w:rsidP="008D734E">
            <w:pPr>
              <w:autoSpaceDE w:val="0"/>
              <w:autoSpaceDN w:val="0"/>
              <w:adjustRightInd w:val="0"/>
              <w:jc w:val="both"/>
            </w:pPr>
            <w:r w:rsidRPr="008E325B">
              <w:t>KORISNIK MORA IMATI UPISANU DODATNU DJELATNOST PRERADE, A SHODNO TOME TREBA DOSTAVITI I DOKAZ O UPISU</w:t>
            </w:r>
          </w:p>
          <w:p w:rsidR="00990485" w:rsidRPr="008E325B" w:rsidRDefault="00990485" w:rsidP="008D734E">
            <w:pPr>
              <w:autoSpaceDE w:val="0"/>
              <w:autoSpaceDN w:val="0"/>
              <w:adjustRightInd w:val="0"/>
              <w:jc w:val="both"/>
            </w:pPr>
            <w:r w:rsidRPr="008E325B">
              <w:t>U REGISTAR KOD AGENCIJE ZA PLAĆANJE, TE DOKAZ O UPISU U NEKI OD OBLIKA OPOREZIVANJA DJELATNOSTI PRERADE KOD</w:t>
            </w:r>
          </w:p>
          <w:p w:rsidR="00990485" w:rsidRPr="008E325B" w:rsidRDefault="00990485" w:rsidP="008D734E">
            <w:pPr>
              <w:autoSpaceDE w:val="0"/>
              <w:autoSpaceDN w:val="0"/>
              <w:adjustRightInd w:val="0"/>
              <w:jc w:val="both"/>
            </w:pPr>
            <w:r w:rsidRPr="008E325B">
              <w:t>MINISTARSTVA FINANCIJA (paušal, obrt,..).</w:t>
            </w:r>
          </w:p>
          <w:p w:rsidR="00990485" w:rsidRPr="008E325B" w:rsidRDefault="00990485" w:rsidP="008D734E">
            <w:pPr>
              <w:autoSpaceDE w:val="0"/>
              <w:autoSpaceDN w:val="0"/>
              <w:adjustRightInd w:val="0"/>
              <w:jc w:val="both"/>
            </w:pPr>
            <w:r w:rsidRPr="008E325B">
              <w:lastRenderedPageBreak/>
              <w:t>Pojašnjenje: zakonom je regulirana potreba upisa dodatne poljoprivredne djelatnosti za sve koji na tržište ne stavljaju samo primarni proizvod već i njihove prerađevine. Npr. proizvođač krušaka nije u toj obavezi, ali ako na tržište stavlja sok, džem ili neku drugu prerađevinu svakako je. Predlažem da</w:t>
            </w:r>
          </w:p>
          <w:p w:rsidR="00990485" w:rsidRPr="008E325B" w:rsidRDefault="00990485" w:rsidP="008D734E">
            <w:pPr>
              <w:autoSpaceDE w:val="0"/>
              <w:autoSpaceDN w:val="0"/>
              <w:adjustRightInd w:val="0"/>
              <w:jc w:val="both"/>
            </w:pPr>
            <w:r w:rsidRPr="008E325B">
              <w:t>te činjenice dodatno provjerite kod Agencije za plaćanja, u Ministarstvu financija i u Savjetodavnoj službi.</w:t>
            </w:r>
          </w:p>
        </w:tc>
        <w:tc>
          <w:tcPr>
            <w:tcW w:w="4250" w:type="dxa"/>
            <w:shd w:val="clear" w:color="auto" w:fill="auto"/>
          </w:tcPr>
          <w:p w:rsidR="00990485" w:rsidRPr="00CB6ABB" w:rsidRDefault="00990485" w:rsidP="008D734E">
            <w:pPr>
              <w:spacing w:line="276" w:lineRule="auto"/>
              <w:jc w:val="both"/>
            </w:pPr>
            <w:r w:rsidRPr="00CB6ABB">
              <w:lastRenderedPageBreak/>
              <w:t>Prijedlog se ne prihvaća.</w:t>
            </w:r>
          </w:p>
          <w:p w:rsidR="00990485" w:rsidRPr="00CB6ABB" w:rsidRDefault="00990485" w:rsidP="008D734E">
            <w:pPr>
              <w:spacing w:line="276" w:lineRule="auto"/>
              <w:jc w:val="both"/>
            </w:pP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</w:pPr>
            <w:r w:rsidRPr="00CB6ABB">
              <w:t xml:space="preserve">Člankom 15., stavkom 1. predmetnog  Pravilnika utvrđeni su uvjeti  prihvatljivosti korisnika: </w:t>
            </w: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</w:pPr>
            <w:r w:rsidRPr="00CB6ABB">
              <w:t xml:space="preserve">„Korisnici su poljoprivrednici upisani u Upisnik poljoprivrednika i/ili Upisnik obiteljskih poljoprivrednih gospodarstava u Agenciji za plaćanje u poljoprivredi, ribarstvu i ruralnom razvoju Podružnice </w:t>
            </w:r>
            <w:r w:rsidRPr="00CB6ABB">
              <w:lastRenderedPageBreak/>
              <w:t xml:space="preserve">Krapinsko-zagorske županije sa sjedištem na području Krapinsko-zagorske županije </w:t>
            </w:r>
            <w:r w:rsidRPr="00CB6ABB">
              <w:rPr>
                <w:u w:val="single"/>
              </w:rPr>
              <w:t xml:space="preserve">te vrše preradu i/ili stavljanje na tržište jednog i/ili više poljoprivrednih proizvoda </w:t>
            </w:r>
            <w:r w:rsidRPr="00CB6ABB">
              <w:t>s Popisa poljoprivrednih proizvoda obuhvaćenih Dodatkom I. Ugovora o EU, uz iznimku proizvoda ribarstva i akvakulture obuhvaćenih Uredbom Vijeća (EZ) br. 104/2000.“</w:t>
            </w: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</w:pPr>
          </w:p>
          <w:p w:rsidR="00990485" w:rsidRPr="00CB6ABB" w:rsidRDefault="00990485" w:rsidP="008D734E">
            <w:p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B6ABB">
              <w:rPr>
                <w:rFonts w:eastAsia="Calibri"/>
                <w:lang w:eastAsia="en-US"/>
              </w:rPr>
              <w:t>Također je člankom 15. stavkom 3. Pravilnika utvrđen slijedeći uvjet:</w:t>
            </w:r>
          </w:p>
          <w:p w:rsidR="00990485" w:rsidRPr="00CB6ABB" w:rsidRDefault="00990485" w:rsidP="008D734E">
            <w:p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B6ABB">
              <w:rPr>
                <w:rFonts w:eastAsia="Calibri"/>
                <w:lang w:eastAsia="en-US"/>
              </w:rPr>
              <w:t xml:space="preserve"> „Korisnik </w:t>
            </w:r>
            <w:r w:rsidRPr="00CB6ABB">
              <w:rPr>
                <w:rFonts w:eastAsia="Calibri"/>
                <w:u w:val="single"/>
                <w:lang w:eastAsia="en-US"/>
              </w:rPr>
              <w:t xml:space="preserve">mora vršiti preradu i/ili stavljanje na tržište </w:t>
            </w:r>
            <w:r w:rsidRPr="00CB6ABB">
              <w:rPr>
                <w:rFonts w:eastAsia="Calibri"/>
                <w:lang w:eastAsia="en-US"/>
              </w:rPr>
              <w:t>jednog i/ili više poljoprivrednih proizvoda sa Popisa poljoprivrednih proizvoda obuhvaćenih Dodatkom I. Ugovora o EU, uz iznimku proizvoda ribarstva i akvakulture obuhvaćenih Uredbom Vijeća (EZ) br. 104/2000 koji se nalazi u Prilogu I. ovog Pravilnika.“</w:t>
            </w: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</w:pPr>
            <w:r w:rsidRPr="00CB6ABB">
              <w:t xml:space="preserve">Citiranim člancima Pravilnika obuhvaćeni su kao korisnici oni koji se bave primarnom proizvodnjom tako i korisnici koji se bave preradom poljoprivrednih proizvoda. Popis dodatne odnosno specifične dokumentacije za prijavitelje za </w:t>
            </w:r>
            <w:r w:rsidRPr="00CB6ABB">
              <w:lastRenderedPageBreak/>
              <w:t xml:space="preserve">pojedinu mjeru utvrđuje se  Natječajem,  a ne predmetnim  Pravilnikom.  </w:t>
            </w:r>
          </w:p>
          <w:p w:rsidR="00990485" w:rsidRPr="00CB6ABB" w:rsidRDefault="00990485" w:rsidP="008D734E">
            <w:pPr>
              <w:spacing w:line="276" w:lineRule="auto"/>
              <w:jc w:val="both"/>
            </w:pPr>
          </w:p>
        </w:tc>
      </w:tr>
      <w:tr w:rsidR="00990485" w:rsidRPr="008E325B" w:rsidTr="008D734E">
        <w:trPr>
          <w:trHeight w:val="2975"/>
        </w:trPr>
        <w:tc>
          <w:tcPr>
            <w:tcW w:w="690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  <w:rPr>
                <w:b/>
              </w:rPr>
            </w:pPr>
            <w:r w:rsidRPr="008E325B">
              <w:rPr>
                <w:b/>
              </w:rPr>
              <w:lastRenderedPageBreak/>
              <w:t>2.</w:t>
            </w:r>
          </w:p>
        </w:tc>
        <w:tc>
          <w:tcPr>
            <w:tcW w:w="1901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  <w:rPr>
                <w:b/>
              </w:rPr>
            </w:pPr>
            <w:r w:rsidRPr="008E325B">
              <w:rPr>
                <w:b/>
              </w:rPr>
              <w:t>Građanin (bez javne objave podataka na zahtjev podnositelja)</w:t>
            </w:r>
          </w:p>
        </w:tc>
        <w:tc>
          <w:tcPr>
            <w:tcW w:w="1695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</w:pPr>
          </w:p>
        </w:tc>
        <w:tc>
          <w:tcPr>
            <w:tcW w:w="5458" w:type="dxa"/>
            <w:shd w:val="clear" w:color="auto" w:fill="auto"/>
          </w:tcPr>
          <w:p w:rsidR="00990485" w:rsidRPr="008E325B" w:rsidRDefault="00990485" w:rsidP="008D734E">
            <w:pPr>
              <w:jc w:val="both"/>
            </w:pPr>
            <w:r w:rsidRPr="008E325B">
              <w:t>-predlažem da se ograniči dobivanje subvencije jednom u tri godine, kako se ne bi dogodilo da isti korisnici dobiju subvenciju svake godine, a drugi ništa,</w:t>
            </w:r>
          </w:p>
          <w:p w:rsidR="00990485" w:rsidRPr="008E325B" w:rsidRDefault="00990485" w:rsidP="008D734E">
            <w:pPr>
              <w:jc w:val="both"/>
            </w:pPr>
          </w:p>
          <w:p w:rsidR="00990485" w:rsidRPr="008E325B" w:rsidRDefault="00990485" w:rsidP="008D734E">
            <w:pPr>
              <w:jc w:val="both"/>
            </w:pPr>
            <w:r w:rsidRPr="008E325B">
              <w:t>-predlažem da se sa najviše bodova ocjenjuje sektor voćarstva jer je na najnižim granama u županiji, te zato što su 2018. i 2019. godine na natječajima KZŽ najviše bodova dobivali sektori vinogradarstva i povrćarstva</w:t>
            </w:r>
          </w:p>
        </w:tc>
        <w:tc>
          <w:tcPr>
            <w:tcW w:w="4250" w:type="dxa"/>
            <w:shd w:val="clear" w:color="auto" w:fill="auto"/>
          </w:tcPr>
          <w:p w:rsidR="00990485" w:rsidRPr="00CB6ABB" w:rsidRDefault="00990485" w:rsidP="008D734E">
            <w:pPr>
              <w:pStyle w:val="Bezproreda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6ABB">
              <w:rPr>
                <w:rFonts w:eastAsia="Calibri"/>
                <w:sz w:val="22"/>
                <w:szCs w:val="22"/>
                <w:lang w:eastAsia="en-US"/>
              </w:rPr>
              <w:t>Prijedlog se ne prihvaća.</w:t>
            </w: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6ABB">
              <w:rPr>
                <w:rFonts w:eastAsia="Calibri"/>
                <w:sz w:val="22"/>
                <w:szCs w:val="22"/>
                <w:lang w:eastAsia="en-US"/>
              </w:rPr>
              <w:t xml:space="preserve">Predmetnim Pravilnikom  Korisnicima  se dodjeljuje  potpora male vrijednosti (de </w:t>
            </w:r>
            <w:proofErr w:type="spellStart"/>
            <w:r w:rsidRPr="00CB6ABB">
              <w:rPr>
                <w:rFonts w:eastAsia="Calibri"/>
                <w:sz w:val="22"/>
                <w:szCs w:val="22"/>
                <w:lang w:eastAsia="en-US"/>
              </w:rPr>
              <w:t>minimis</w:t>
            </w:r>
            <w:proofErr w:type="spellEnd"/>
            <w:r w:rsidRPr="00CB6ABB">
              <w:rPr>
                <w:rFonts w:eastAsia="Calibri"/>
                <w:sz w:val="22"/>
                <w:szCs w:val="22"/>
                <w:lang w:eastAsia="en-US"/>
              </w:rPr>
              <w:t xml:space="preserve"> potpora) u skladu s Uredbom Komisije EU br. 1407/2013. o primjeni članka 107. i 108. Ugovora o funkcioniranju Europske unije na potpore de </w:t>
            </w:r>
            <w:proofErr w:type="spellStart"/>
            <w:r w:rsidRPr="00CB6ABB">
              <w:rPr>
                <w:rFonts w:eastAsia="Calibri"/>
                <w:sz w:val="22"/>
                <w:szCs w:val="22"/>
                <w:lang w:eastAsia="en-US"/>
              </w:rPr>
              <w:t>minimis</w:t>
            </w:r>
            <w:proofErr w:type="spellEnd"/>
            <w:r w:rsidRPr="00CB6ABB">
              <w:rPr>
                <w:rFonts w:eastAsia="Calibri"/>
                <w:sz w:val="22"/>
                <w:szCs w:val="22"/>
                <w:lang w:eastAsia="en-US"/>
              </w:rPr>
              <w:t xml:space="preserve"> (Službeni list Europske unije, L 352, od 18. prosinca 2013. godine. </w:t>
            </w:r>
          </w:p>
          <w:p w:rsidR="00990485" w:rsidRPr="00CB6ABB" w:rsidRDefault="00990485" w:rsidP="008D734E">
            <w:pPr>
              <w:pStyle w:val="Bezproreda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6ABB">
              <w:rPr>
                <w:rFonts w:eastAsia="Calibri"/>
                <w:sz w:val="22"/>
                <w:szCs w:val="22"/>
                <w:lang w:eastAsia="en-US"/>
              </w:rPr>
              <w:t xml:space="preserve">Navedenom Uredbom, člankom 3. iste, propisano je da ukupan iznos de </w:t>
            </w:r>
            <w:proofErr w:type="spellStart"/>
            <w:r w:rsidRPr="00CB6ABB">
              <w:rPr>
                <w:rFonts w:eastAsia="Calibri"/>
                <w:sz w:val="22"/>
                <w:szCs w:val="22"/>
                <w:lang w:eastAsia="en-US"/>
              </w:rPr>
              <w:t>minimis</w:t>
            </w:r>
            <w:proofErr w:type="spellEnd"/>
            <w:r w:rsidRPr="00CB6ABB">
              <w:rPr>
                <w:rFonts w:eastAsia="Calibri"/>
                <w:sz w:val="22"/>
                <w:szCs w:val="22"/>
                <w:lang w:eastAsia="en-US"/>
              </w:rPr>
              <w:t xml:space="preserve"> potpore koja se po državi članici dodjeljuje jednom poduzetniku ne smije prelaziti 200 000 Eura tijekom bilo kojeg razdoblja od tri fiskalne godine. Citirana odredba je unesena u Pravilnik kao uvjet prihvatljivosti za dodjelu potpore za sve tri Mjere. Slijedom navedenog, postoji ograničenje za dodjelu potpore, a to je 200 000 </w:t>
            </w:r>
            <w:proofErr w:type="spellStart"/>
            <w:r w:rsidRPr="00CB6ABB">
              <w:rPr>
                <w:rFonts w:eastAsia="Calibri"/>
                <w:sz w:val="22"/>
                <w:szCs w:val="22"/>
                <w:lang w:eastAsia="en-US"/>
              </w:rPr>
              <w:t>Eur</w:t>
            </w:r>
            <w:proofErr w:type="spellEnd"/>
            <w:r w:rsidRPr="00CB6ABB">
              <w:rPr>
                <w:rFonts w:eastAsia="Calibri"/>
                <w:sz w:val="22"/>
                <w:szCs w:val="22"/>
                <w:lang w:eastAsia="en-US"/>
              </w:rPr>
              <w:t xml:space="preserve">-a za dodjelu  poduzetniku kroz tekuću i dvije prethodne fiskalne godine. </w:t>
            </w:r>
          </w:p>
        </w:tc>
      </w:tr>
      <w:tr w:rsidR="00990485" w:rsidRPr="008E325B" w:rsidTr="008D734E">
        <w:trPr>
          <w:trHeight w:val="2975"/>
        </w:trPr>
        <w:tc>
          <w:tcPr>
            <w:tcW w:w="690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  <w:rPr>
                <w:b/>
              </w:rPr>
            </w:pPr>
            <w:r w:rsidRPr="008E325B">
              <w:rPr>
                <w:b/>
              </w:rPr>
              <w:lastRenderedPageBreak/>
              <w:t>3.</w:t>
            </w:r>
          </w:p>
        </w:tc>
        <w:tc>
          <w:tcPr>
            <w:tcW w:w="1901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  <w:rPr>
                <w:b/>
              </w:rPr>
            </w:pPr>
            <w:r w:rsidRPr="008E325B">
              <w:rPr>
                <w:b/>
              </w:rPr>
              <w:t xml:space="preserve">Dario </w:t>
            </w:r>
            <w:proofErr w:type="spellStart"/>
            <w:r w:rsidRPr="008E325B">
              <w:rPr>
                <w:b/>
              </w:rPr>
              <w:t>Benko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center"/>
            </w:pPr>
            <w:r w:rsidRPr="008E325B">
              <w:t>/</w:t>
            </w:r>
          </w:p>
        </w:tc>
        <w:tc>
          <w:tcPr>
            <w:tcW w:w="5458" w:type="dxa"/>
            <w:shd w:val="clear" w:color="auto" w:fill="auto"/>
          </w:tcPr>
          <w:p w:rsidR="00990485" w:rsidRPr="008E325B" w:rsidRDefault="00990485" w:rsidP="008D734E">
            <w:r w:rsidRPr="008E325B">
              <w:t>- nemam primjedaba</w:t>
            </w:r>
          </w:p>
          <w:p w:rsidR="00990485" w:rsidRPr="008E325B" w:rsidRDefault="00990485" w:rsidP="008D734E"/>
        </w:tc>
        <w:tc>
          <w:tcPr>
            <w:tcW w:w="4250" w:type="dxa"/>
            <w:shd w:val="clear" w:color="auto" w:fill="auto"/>
          </w:tcPr>
          <w:p w:rsidR="00990485" w:rsidRPr="008E325B" w:rsidRDefault="00990485" w:rsidP="008D734E">
            <w:pPr>
              <w:pStyle w:val="Bezproreda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E325B">
              <w:rPr>
                <w:rFonts w:eastAsia="Calibri"/>
                <w:lang w:eastAsia="en-US"/>
              </w:rPr>
              <w:t xml:space="preserve">                         /</w:t>
            </w:r>
          </w:p>
          <w:p w:rsidR="00990485" w:rsidRPr="008E325B" w:rsidRDefault="00990485" w:rsidP="008D734E">
            <w:pPr>
              <w:rPr>
                <w:rFonts w:eastAsia="Calibri"/>
                <w:lang w:eastAsia="en-US"/>
              </w:rPr>
            </w:pPr>
          </w:p>
          <w:p w:rsidR="00990485" w:rsidRPr="008E325B" w:rsidRDefault="00990485" w:rsidP="008D734E">
            <w:pPr>
              <w:rPr>
                <w:rFonts w:eastAsia="Calibri"/>
                <w:lang w:eastAsia="en-US"/>
              </w:rPr>
            </w:pPr>
          </w:p>
          <w:p w:rsidR="00990485" w:rsidRPr="008E325B" w:rsidRDefault="00990485" w:rsidP="008D734E">
            <w:pPr>
              <w:tabs>
                <w:tab w:val="left" w:pos="1005"/>
              </w:tabs>
              <w:rPr>
                <w:rFonts w:eastAsia="Calibri"/>
                <w:lang w:eastAsia="en-US"/>
              </w:rPr>
            </w:pPr>
            <w:r w:rsidRPr="008E325B">
              <w:rPr>
                <w:rFonts w:eastAsia="Calibri"/>
                <w:lang w:eastAsia="en-US"/>
              </w:rPr>
              <w:tab/>
            </w:r>
          </w:p>
        </w:tc>
      </w:tr>
      <w:tr w:rsidR="00990485" w:rsidRPr="008E325B" w:rsidTr="008D734E">
        <w:trPr>
          <w:trHeight w:val="2975"/>
        </w:trPr>
        <w:tc>
          <w:tcPr>
            <w:tcW w:w="690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  <w:rPr>
                <w:b/>
              </w:rPr>
            </w:pPr>
            <w:r w:rsidRPr="008E325B">
              <w:rPr>
                <w:b/>
              </w:rPr>
              <w:t>4.</w:t>
            </w:r>
          </w:p>
        </w:tc>
        <w:tc>
          <w:tcPr>
            <w:tcW w:w="1901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  <w:rPr>
                <w:b/>
              </w:rPr>
            </w:pPr>
            <w:r w:rsidRPr="008E325B">
              <w:rPr>
                <w:b/>
              </w:rPr>
              <w:t xml:space="preserve">Zlatko </w:t>
            </w:r>
            <w:proofErr w:type="spellStart"/>
            <w:r w:rsidRPr="008E325B">
              <w:rPr>
                <w:b/>
              </w:rPr>
              <w:t>Benko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990485" w:rsidRPr="008E325B" w:rsidRDefault="00990485" w:rsidP="008D734E">
            <w:pPr>
              <w:spacing w:line="276" w:lineRule="auto"/>
              <w:jc w:val="both"/>
            </w:pPr>
            <w:r w:rsidRPr="008E325B">
              <w:t xml:space="preserve">            /</w:t>
            </w:r>
          </w:p>
        </w:tc>
        <w:tc>
          <w:tcPr>
            <w:tcW w:w="5458" w:type="dxa"/>
            <w:shd w:val="clear" w:color="auto" w:fill="auto"/>
          </w:tcPr>
          <w:p w:rsidR="00990485" w:rsidRPr="008E325B" w:rsidRDefault="00990485" w:rsidP="008D734E">
            <w:r w:rsidRPr="008E325B">
              <w:t>- nemam primjedaba</w:t>
            </w:r>
          </w:p>
        </w:tc>
        <w:tc>
          <w:tcPr>
            <w:tcW w:w="4250" w:type="dxa"/>
            <w:shd w:val="clear" w:color="auto" w:fill="auto"/>
          </w:tcPr>
          <w:p w:rsidR="00990485" w:rsidRPr="008E325B" w:rsidRDefault="00990485" w:rsidP="008D734E">
            <w:pPr>
              <w:pStyle w:val="Bezproreda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E325B">
              <w:rPr>
                <w:rFonts w:eastAsia="Calibri"/>
                <w:lang w:eastAsia="en-US"/>
              </w:rPr>
              <w:t xml:space="preserve">                        /</w:t>
            </w:r>
          </w:p>
        </w:tc>
      </w:tr>
    </w:tbl>
    <w:p w:rsidR="00EF79D6" w:rsidRDefault="00EF79D6" w:rsidP="00F613AE">
      <w:bookmarkStart w:id="0" w:name="_GoBack"/>
      <w:bookmarkEnd w:id="0"/>
    </w:p>
    <w:sectPr w:rsidR="00EF79D6" w:rsidSect="00990485">
      <w:headerReference w:type="default" r:id="rId8"/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91" w:rsidRDefault="00D43791" w:rsidP="00990485">
      <w:r>
        <w:separator/>
      </w:r>
    </w:p>
  </w:endnote>
  <w:endnote w:type="continuationSeparator" w:id="0">
    <w:p w:rsidR="00D43791" w:rsidRDefault="00D43791" w:rsidP="0099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91" w:rsidRDefault="00D43791" w:rsidP="00990485">
      <w:r>
        <w:separator/>
      </w:r>
    </w:p>
  </w:footnote>
  <w:footnote w:type="continuationSeparator" w:id="0">
    <w:p w:rsidR="00D43791" w:rsidRDefault="00D43791" w:rsidP="0099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85" w:rsidRDefault="009904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66DA2"/>
    <w:multiLevelType w:val="hybridMultilevel"/>
    <w:tmpl w:val="666A5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2275"/>
    <w:multiLevelType w:val="hybridMultilevel"/>
    <w:tmpl w:val="1AFED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3471"/>
    <w:multiLevelType w:val="hybridMultilevel"/>
    <w:tmpl w:val="A5A641D2"/>
    <w:lvl w:ilvl="0" w:tplc="D91EE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D6"/>
    <w:rsid w:val="001D1BFD"/>
    <w:rsid w:val="001D761F"/>
    <w:rsid w:val="00223E27"/>
    <w:rsid w:val="00242F5D"/>
    <w:rsid w:val="0028267C"/>
    <w:rsid w:val="002B7482"/>
    <w:rsid w:val="002C70C9"/>
    <w:rsid w:val="00372B22"/>
    <w:rsid w:val="004131A2"/>
    <w:rsid w:val="00425CBF"/>
    <w:rsid w:val="004B244A"/>
    <w:rsid w:val="004C0048"/>
    <w:rsid w:val="004F032D"/>
    <w:rsid w:val="00510DCA"/>
    <w:rsid w:val="005F5533"/>
    <w:rsid w:val="00622987"/>
    <w:rsid w:val="008549F7"/>
    <w:rsid w:val="00863526"/>
    <w:rsid w:val="00885D66"/>
    <w:rsid w:val="008A2563"/>
    <w:rsid w:val="00990485"/>
    <w:rsid w:val="009B6BBA"/>
    <w:rsid w:val="009F02E7"/>
    <w:rsid w:val="00AB4335"/>
    <w:rsid w:val="00AE7AB0"/>
    <w:rsid w:val="00B9794E"/>
    <w:rsid w:val="00C72039"/>
    <w:rsid w:val="00D43791"/>
    <w:rsid w:val="00D92DD4"/>
    <w:rsid w:val="00DE57BA"/>
    <w:rsid w:val="00E36D24"/>
    <w:rsid w:val="00ED3FE0"/>
    <w:rsid w:val="00EF79D6"/>
    <w:rsid w:val="00F12524"/>
    <w:rsid w:val="00F1528B"/>
    <w:rsid w:val="00F36EC9"/>
    <w:rsid w:val="00F5322B"/>
    <w:rsid w:val="00F613AE"/>
    <w:rsid w:val="00FC140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FEB4A-D5D4-4C61-99FD-565D797F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F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C720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E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36EC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904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48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904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485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990485"/>
    <w:rPr>
      <w:sz w:val="24"/>
      <w:szCs w:val="24"/>
    </w:rPr>
  </w:style>
  <w:style w:type="character" w:customStyle="1" w:styleId="BezproredaChar">
    <w:name w:val="Bez proreda Char"/>
    <w:link w:val="Bezproreda"/>
    <w:uiPriority w:val="1"/>
    <w:rsid w:val="00990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SAVJETOVANJU SA ZAINTERESIRANOM</vt:lpstr>
    </vt:vector>
  </TitlesOfParts>
  <Company>Krapinsko-zagorska županija</Company>
  <LinksUpToDate>false</LinksUpToDate>
  <CharactersWithSpaces>6336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</dc:title>
  <dc:subject/>
  <dc:creator>ksenijac</dc:creator>
  <cp:keywords/>
  <dc:description/>
  <cp:lastModifiedBy>Zvonko Tušek</cp:lastModifiedBy>
  <cp:revision>3</cp:revision>
  <cp:lastPrinted>2019-12-03T10:12:00Z</cp:lastPrinted>
  <dcterms:created xsi:type="dcterms:W3CDTF">2020-02-17T11:03:00Z</dcterms:created>
  <dcterms:modified xsi:type="dcterms:W3CDTF">2020-02-17T13:39:00Z</dcterms:modified>
</cp:coreProperties>
</file>