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DEA32" w14:textId="77B23C14" w:rsidR="001E3C9C" w:rsidRDefault="00237715">
      <w:pPr>
        <w:rPr>
          <w:b/>
        </w:rPr>
      </w:pPr>
      <w:r>
        <w:rPr>
          <w:noProof/>
        </w:rPr>
        <w:drawing>
          <wp:anchor distT="0" distB="0" distL="114935" distR="114935" simplePos="0" relativeHeight="251657728" behindDoc="0" locked="0" layoutInCell="1" allowOverlap="1" wp14:anchorId="7233FAFC" wp14:editId="2A897DF7">
            <wp:simplePos x="0" y="0"/>
            <wp:positionH relativeFrom="column">
              <wp:posOffset>825500</wp:posOffset>
            </wp:positionH>
            <wp:positionV relativeFrom="paragraph">
              <wp:posOffset>0</wp:posOffset>
            </wp:positionV>
            <wp:extent cx="440690" cy="54800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3C9C">
        <w:rPr>
          <w:b/>
          <w:sz w:val="24"/>
          <w:szCs w:val="24"/>
        </w:rPr>
        <w:t xml:space="preserve">  </w:t>
      </w:r>
      <w:r w:rsidR="001E3C9C">
        <w:rPr>
          <w:b/>
        </w:rPr>
        <w:t>R E P U B L I K A    H R V A T S K A</w:t>
      </w:r>
    </w:p>
    <w:p w14:paraId="54DE8097" w14:textId="77777777" w:rsidR="001E3C9C" w:rsidRDefault="001E3C9C">
      <w:pPr>
        <w:rPr>
          <w:b/>
        </w:rPr>
      </w:pPr>
      <w:r>
        <w:rPr>
          <w:b/>
        </w:rPr>
        <w:t>KRAPINSKO-ZAGORSKA ŽUPANIJA</w:t>
      </w:r>
    </w:p>
    <w:p w14:paraId="76F80794" w14:textId="77777777" w:rsidR="001E3C9C" w:rsidRDefault="001E3C9C">
      <w:pPr>
        <w:rPr>
          <w:b/>
        </w:rPr>
      </w:pPr>
      <w:r>
        <w:rPr>
          <w:b/>
        </w:rPr>
        <w:t xml:space="preserve">   Upravni odjel za prostorno uređenje, </w:t>
      </w:r>
    </w:p>
    <w:p w14:paraId="2447BA18" w14:textId="77777777" w:rsidR="001E3C9C" w:rsidRDefault="001E3C9C">
      <w:pPr>
        <w:rPr>
          <w:sz w:val="24"/>
          <w:szCs w:val="24"/>
        </w:rPr>
      </w:pPr>
      <w:r>
        <w:rPr>
          <w:b/>
        </w:rPr>
        <w:t xml:space="preserve">            gradnju i zaštitu okoliša</w:t>
      </w:r>
    </w:p>
    <w:p w14:paraId="6EBAF1F9" w14:textId="77777777" w:rsidR="001E3C9C" w:rsidRDefault="001E3C9C">
      <w:pPr>
        <w:jc w:val="both"/>
        <w:rPr>
          <w:sz w:val="24"/>
          <w:szCs w:val="24"/>
        </w:rPr>
      </w:pPr>
    </w:p>
    <w:p w14:paraId="14E1D3B2" w14:textId="77777777" w:rsidR="001E3C9C" w:rsidRDefault="001E3C9C">
      <w:pPr>
        <w:rPr>
          <w:sz w:val="24"/>
          <w:szCs w:val="24"/>
        </w:rPr>
      </w:pPr>
      <w:r>
        <w:rPr>
          <w:sz w:val="24"/>
          <w:szCs w:val="24"/>
        </w:rPr>
        <w:t>KLASA: UP/I-351-01/22-01/18</w:t>
      </w:r>
    </w:p>
    <w:p w14:paraId="36831F6B" w14:textId="77777777" w:rsidR="001E3C9C" w:rsidRDefault="001E3C9C">
      <w:pPr>
        <w:rPr>
          <w:sz w:val="24"/>
          <w:szCs w:val="24"/>
        </w:rPr>
      </w:pPr>
      <w:r>
        <w:rPr>
          <w:sz w:val="24"/>
          <w:szCs w:val="24"/>
        </w:rPr>
        <w:t>URBROJ: 2140-08-22-2</w:t>
      </w:r>
    </w:p>
    <w:p w14:paraId="5F5917D9" w14:textId="77777777" w:rsidR="001E3C9C" w:rsidRDefault="001E3C9C">
      <w:pPr>
        <w:jc w:val="both"/>
        <w:rPr>
          <w:b/>
          <w:sz w:val="24"/>
          <w:szCs w:val="24"/>
        </w:rPr>
      </w:pPr>
      <w:r>
        <w:rPr>
          <w:sz w:val="24"/>
          <w:szCs w:val="24"/>
        </w:rPr>
        <w:t xml:space="preserve">Krapina, 08. srpnja 2022. </w:t>
      </w:r>
    </w:p>
    <w:p w14:paraId="77F4C0B6" w14:textId="77777777" w:rsidR="001E3C9C" w:rsidRDefault="001E3C9C">
      <w:pPr>
        <w:ind w:left="5040"/>
        <w:jc w:val="center"/>
        <w:rPr>
          <w:b/>
          <w:sz w:val="24"/>
          <w:szCs w:val="24"/>
        </w:rPr>
      </w:pPr>
    </w:p>
    <w:p w14:paraId="03920101" w14:textId="77777777" w:rsidR="001E3C9C" w:rsidRDefault="001E3C9C">
      <w:pPr>
        <w:ind w:firstLine="708"/>
        <w:jc w:val="both"/>
        <w:rPr>
          <w:sz w:val="24"/>
          <w:szCs w:val="24"/>
        </w:rPr>
      </w:pPr>
      <w:r>
        <w:rPr>
          <w:sz w:val="24"/>
          <w:szCs w:val="24"/>
        </w:rPr>
        <w:t>Krapinsko-zagorska županija, Upravni odjel za prostorno uređenje, gradnju i zaštitu okoliša na temelju članka 160. stavka 1. i članka 162. Zakona o zaštiti okoliša (“Narodne novine” broj 80/13, 153/13, 78/15, 12/18 i 118/18) i članka 7. stavka 2. točke 1. Uredbe o informiranju i sudjelovanju javnosti i zainteresirane javnosti u pitanjima zaštite okoliša (“Narodne novine” broj 64/08) objavljuje</w:t>
      </w:r>
    </w:p>
    <w:p w14:paraId="133D32A5" w14:textId="77777777" w:rsidR="001E3C9C" w:rsidRDefault="001E3C9C">
      <w:pPr>
        <w:ind w:firstLine="708"/>
        <w:jc w:val="both"/>
        <w:rPr>
          <w:sz w:val="24"/>
          <w:szCs w:val="24"/>
        </w:rPr>
      </w:pPr>
    </w:p>
    <w:p w14:paraId="2DCCAF05" w14:textId="77777777" w:rsidR="001E3C9C" w:rsidRDefault="001E3C9C">
      <w:pPr>
        <w:jc w:val="center"/>
        <w:rPr>
          <w:b/>
          <w:sz w:val="24"/>
          <w:szCs w:val="24"/>
        </w:rPr>
      </w:pPr>
      <w:r>
        <w:rPr>
          <w:b/>
          <w:sz w:val="24"/>
          <w:szCs w:val="24"/>
        </w:rPr>
        <w:t>I N F O R M A C I J U</w:t>
      </w:r>
    </w:p>
    <w:p w14:paraId="20632CCF" w14:textId="77777777" w:rsidR="001E3C9C" w:rsidRDefault="001E3C9C">
      <w:pPr>
        <w:autoSpaceDE w:val="0"/>
        <w:jc w:val="center"/>
        <w:rPr>
          <w:b/>
          <w:sz w:val="24"/>
          <w:szCs w:val="24"/>
        </w:rPr>
      </w:pPr>
      <w:r>
        <w:rPr>
          <w:b/>
          <w:sz w:val="24"/>
          <w:szCs w:val="24"/>
        </w:rPr>
        <w:t>o zahtjevu za ocjenu o potrebi procjene utjecaja na okoliš izgradnje postrojenja za proizvodnju betona i proizvodne građevine, Grad Oroslavje</w:t>
      </w:r>
    </w:p>
    <w:p w14:paraId="17BABA72" w14:textId="77777777" w:rsidR="001E3C9C" w:rsidRDefault="001E3C9C">
      <w:pPr>
        <w:jc w:val="both"/>
        <w:rPr>
          <w:b/>
          <w:sz w:val="24"/>
          <w:szCs w:val="24"/>
        </w:rPr>
      </w:pPr>
    </w:p>
    <w:p w14:paraId="718F788F" w14:textId="77777777" w:rsidR="001E3C9C" w:rsidRDefault="001E3C9C">
      <w:pPr>
        <w:jc w:val="both"/>
        <w:rPr>
          <w:b/>
          <w:sz w:val="24"/>
          <w:szCs w:val="24"/>
        </w:rPr>
      </w:pPr>
    </w:p>
    <w:p w14:paraId="2810FB4A" w14:textId="77777777" w:rsidR="001E3C9C" w:rsidRDefault="001E3C9C">
      <w:pPr>
        <w:jc w:val="both"/>
        <w:rPr>
          <w:sz w:val="24"/>
          <w:szCs w:val="24"/>
        </w:rPr>
      </w:pPr>
      <w:r>
        <w:rPr>
          <w:b/>
          <w:sz w:val="24"/>
          <w:szCs w:val="24"/>
        </w:rPr>
        <w:t>Tijelo nadležno za provedbu postupka:</w:t>
      </w:r>
      <w:r>
        <w:rPr>
          <w:sz w:val="24"/>
          <w:szCs w:val="24"/>
        </w:rPr>
        <w:t xml:space="preserve"> Upravni odjel za prostorno uređenje, gradnju i zaštitu okoliša Krapinsko-zagorske županije, Magistratska 1, Krapina.</w:t>
      </w:r>
    </w:p>
    <w:p w14:paraId="2E850ABE" w14:textId="77777777" w:rsidR="001E3C9C" w:rsidRDefault="001E3C9C">
      <w:pPr>
        <w:rPr>
          <w:sz w:val="24"/>
          <w:szCs w:val="24"/>
        </w:rPr>
      </w:pPr>
    </w:p>
    <w:p w14:paraId="40F9F217" w14:textId="77777777" w:rsidR="001E3C9C" w:rsidRDefault="001E3C9C">
      <w:pPr>
        <w:autoSpaceDE w:val="0"/>
        <w:jc w:val="both"/>
        <w:rPr>
          <w:sz w:val="24"/>
          <w:szCs w:val="24"/>
        </w:rPr>
      </w:pPr>
      <w:r>
        <w:rPr>
          <w:b/>
          <w:sz w:val="24"/>
          <w:szCs w:val="24"/>
        </w:rPr>
        <w:t>Pravni temelj za vođenje postupka ocjene o potrebi procjene utjecaja zahvata na okoliš</w:t>
      </w:r>
      <w:r>
        <w:rPr>
          <w:sz w:val="24"/>
          <w:szCs w:val="24"/>
        </w:rPr>
        <w:t xml:space="preserve"> su odredbe članka 82. stavka 1. Zakona o zaštiti okoliša i odredbe članaka 24., 25., 26. i 27. Uredbe o procjeni utjecaja zahvata na okoliš (“Narodne novine” broj 61/14, 3/17, u daljnjem tekstu: Uredba). Naime, za zahvate navedene u točki </w:t>
      </w:r>
      <w:r>
        <w:rPr>
          <w:rFonts w:eastAsia="Calibri" w:cs="Calibri"/>
          <w:i/>
          <w:iCs/>
          <w:color w:val="000000"/>
          <w:sz w:val="24"/>
          <w:szCs w:val="24"/>
        </w:rPr>
        <w:t>3.2. Betonare nazivnog kapaciteta 30 m3/sat i više</w:t>
      </w:r>
      <w:r>
        <w:rPr>
          <w:rFonts w:ascii="Calibri" w:eastAsia="Calibri" w:hAnsi="Calibri" w:cs="Calibri"/>
          <w:color w:val="000000"/>
          <w:sz w:val="23"/>
          <w:szCs w:val="23"/>
        </w:rPr>
        <w:t xml:space="preserve"> </w:t>
      </w:r>
      <w:r>
        <w:rPr>
          <w:sz w:val="24"/>
          <w:szCs w:val="24"/>
        </w:rPr>
        <w:t xml:space="preserve"> Priloga III. Uredbe, ocjenu o potrebi procjene utjecaja zahvata na okoliš provodi nadležno tijelo u županiji. Osim navedenog, člankom 27. stavkom 1. Zakona o zaštiti prirode (“Narodne novine” broj 80/13, 15/18 i 14/19) utvrđeno je da se za zahvate za koje je određena provedba ocjene o potrebi procjene utjecaja na okoliš provodi prethodna ocjena prihvatljivosti za područje ekološke mreže u okviru postupka ocjene o potrebi procjene. Postupak ocjene se provodi jer nositelj zahvata planira izgradnju </w:t>
      </w:r>
      <w:r>
        <w:rPr>
          <w:rFonts w:eastAsia="Calibri" w:cs="Calibri"/>
          <w:color w:val="000000"/>
          <w:sz w:val="24"/>
          <w:szCs w:val="24"/>
        </w:rPr>
        <w:t xml:space="preserve">postrojenja za proizvodnju betona i proizvodne građevine za </w:t>
      </w:r>
      <w:r>
        <w:rPr>
          <w:rFonts w:eastAsia="font1283" w:cs="font1283"/>
          <w:color w:val="000000"/>
          <w:sz w:val="24"/>
          <w:szCs w:val="24"/>
        </w:rPr>
        <w:t>proizvodnju betonske galanterije</w:t>
      </w:r>
      <w:r>
        <w:rPr>
          <w:sz w:val="24"/>
          <w:szCs w:val="24"/>
        </w:rPr>
        <w:t>.</w:t>
      </w:r>
    </w:p>
    <w:p w14:paraId="4FC938BE" w14:textId="77777777" w:rsidR="001E3C9C" w:rsidRDefault="001E3C9C">
      <w:pPr>
        <w:jc w:val="both"/>
        <w:rPr>
          <w:sz w:val="24"/>
          <w:szCs w:val="24"/>
        </w:rPr>
      </w:pPr>
    </w:p>
    <w:p w14:paraId="7592A970" w14:textId="77777777" w:rsidR="001E3C9C" w:rsidRDefault="001E3C9C">
      <w:pPr>
        <w:jc w:val="both"/>
        <w:rPr>
          <w:sz w:val="24"/>
          <w:szCs w:val="24"/>
        </w:rPr>
      </w:pPr>
      <w:r>
        <w:rPr>
          <w:b/>
          <w:sz w:val="24"/>
          <w:szCs w:val="24"/>
        </w:rPr>
        <w:t>Nositelj zahvata:</w:t>
      </w:r>
      <w:r>
        <w:rPr>
          <w:sz w:val="24"/>
          <w:szCs w:val="24"/>
        </w:rPr>
        <w:t xml:space="preserve"> </w:t>
      </w:r>
      <w:r>
        <w:rPr>
          <w:rFonts w:eastAsia="Calibri" w:cs="Calibri"/>
          <w:color w:val="000000"/>
          <w:sz w:val="24"/>
          <w:szCs w:val="24"/>
        </w:rPr>
        <w:t>NISKOGRADNJA HREN d.o.o., Golubovečka ulica 85, Donja Stubica.</w:t>
      </w:r>
    </w:p>
    <w:p w14:paraId="167B146B" w14:textId="77777777" w:rsidR="001E3C9C" w:rsidRDefault="001E3C9C">
      <w:pPr>
        <w:jc w:val="both"/>
        <w:rPr>
          <w:sz w:val="24"/>
          <w:szCs w:val="24"/>
        </w:rPr>
      </w:pPr>
    </w:p>
    <w:p w14:paraId="0ACB018D" w14:textId="77777777" w:rsidR="001E3C9C" w:rsidRDefault="001E3C9C">
      <w:pPr>
        <w:jc w:val="both"/>
        <w:rPr>
          <w:sz w:val="24"/>
          <w:szCs w:val="24"/>
        </w:rPr>
      </w:pPr>
      <w:r>
        <w:rPr>
          <w:b/>
          <w:sz w:val="24"/>
          <w:szCs w:val="24"/>
        </w:rPr>
        <w:t xml:space="preserve">Ovlaštenik: </w:t>
      </w:r>
      <w:r>
        <w:rPr>
          <w:sz w:val="24"/>
          <w:szCs w:val="24"/>
        </w:rPr>
        <w:t>C.I.A.K. d.o.o., Savska opatovina 36, Zagreb.</w:t>
      </w:r>
    </w:p>
    <w:p w14:paraId="290725F0" w14:textId="77777777" w:rsidR="001E3C9C" w:rsidRDefault="001E3C9C">
      <w:pPr>
        <w:jc w:val="both"/>
        <w:rPr>
          <w:sz w:val="24"/>
          <w:szCs w:val="24"/>
        </w:rPr>
      </w:pPr>
    </w:p>
    <w:p w14:paraId="12472602" w14:textId="77777777" w:rsidR="001E3C9C" w:rsidRDefault="001E3C9C">
      <w:pPr>
        <w:jc w:val="both"/>
        <w:rPr>
          <w:sz w:val="24"/>
          <w:szCs w:val="24"/>
        </w:rPr>
      </w:pPr>
      <w:r>
        <w:rPr>
          <w:b/>
          <w:sz w:val="24"/>
          <w:szCs w:val="24"/>
        </w:rPr>
        <w:t>Lokacija zahvata</w:t>
      </w:r>
      <w:r>
        <w:rPr>
          <w:sz w:val="24"/>
          <w:szCs w:val="24"/>
        </w:rPr>
        <w:t xml:space="preserve">: </w:t>
      </w:r>
      <w:r>
        <w:rPr>
          <w:rFonts w:eastAsia="Calibri" w:cs="Calibri"/>
          <w:color w:val="000000"/>
          <w:sz w:val="24"/>
          <w:szCs w:val="24"/>
        </w:rPr>
        <w:t xml:space="preserve">Zahvat se planira na k.č. broj 4344/1, 4345/1, 4346/1, 4347/1 i 4348/1 k.o. Mokrice iz kojih će nastati nova k.č.broj 4345/1, k.o. Mokrice, </w:t>
      </w:r>
      <w:r>
        <w:rPr>
          <w:sz w:val="24"/>
          <w:szCs w:val="24"/>
        </w:rPr>
        <w:t xml:space="preserve">Grad Oroslavje. </w:t>
      </w:r>
    </w:p>
    <w:p w14:paraId="4E89C895" w14:textId="77777777" w:rsidR="001E3C9C" w:rsidRDefault="001E3C9C">
      <w:pPr>
        <w:jc w:val="both"/>
        <w:rPr>
          <w:sz w:val="24"/>
          <w:szCs w:val="24"/>
        </w:rPr>
      </w:pPr>
    </w:p>
    <w:p w14:paraId="16E0DC44" w14:textId="77777777" w:rsidR="001E3C9C" w:rsidRDefault="001E3C9C">
      <w:pPr>
        <w:autoSpaceDE w:val="0"/>
        <w:jc w:val="both"/>
        <w:rPr>
          <w:sz w:val="24"/>
          <w:szCs w:val="24"/>
        </w:rPr>
      </w:pPr>
      <w:r>
        <w:rPr>
          <w:b/>
          <w:sz w:val="24"/>
          <w:szCs w:val="24"/>
        </w:rPr>
        <w:t>Sažeti opis zahvata</w:t>
      </w:r>
      <w:r>
        <w:rPr>
          <w:sz w:val="24"/>
          <w:szCs w:val="24"/>
        </w:rPr>
        <w:t xml:space="preserve"> </w:t>
      </w:r>
    </w:p>
    <w:p w14:paraId="4B6ED1E7" w14:textId="77777777" w:rsidR="001E3C9C" w:rsidRDefault="001E3C9C">
      <w:pPr>
        <w:pStyle w:val="WW-Default"/>
        <w:jc w:val="both"/>
        <w:rPr>
          <w:b/>
        </w:rPr>
      </w:pPr>
      <w:r>
        <w:rPr>
          <w:rFonts w:ascii="Times New Roman" w:hAnsi="Times New Roman" w:cs="Times New Roman"/>
        </w:rPr>
        <w:t>Planirani zahvat o</w:t>
      </w:r>
      <w:r>
        <w:rPr>
          <w:rFonts w:ascii="Times New Roman" w:hAnsi="Times New Roman" w:cs="Calibri"/>
        </w:rPr>
        <w:t>buhvaća izgradnju dvije zasebne funkcionalne jedinice i to postrojenja za proizvodnju betona kapaciteta 120 m</w:t>
      </w:r>
      <w:r>
        <w:rPr>
          <w:rFonts w:ascii="Times New Roman" w:hAnsi="Times New Roman" w:cs="Calibri"/>
          <w:vertAlign w:val="superscript"/>
        </w:rPr>
        <w:t>3</w:t>
      </w:r>
      <w:r>
        <w:rPr>
          <w:rFonts w:ascii="Times New Roman" w:hAnsi="Times New Roman" w:cs="Calibri"/>
        </w:rPr>
        <w:t xml:space="preserve">/h i proizvodne građevine za proizvodnju betonske galanterije - betonske šahte (okna) i betonski blokovi kapaciteta oko </w:t>
      </w:r>
      <w:r w:rsidR="000C0633">
        <w:rPr>
          <w:rFonts w:ascii="Times New Roman" w:hAnsi="Times New Roman" w:cs="Calibri"/>
        </w:rPr>
        <w:t>800</w:t>
      </w:r>
      <w:r>
        <w:rPr>
          <w:rFonts w:ascii="Times New Roman" w:hAnsi="Times New Roman" w:cs="Calibri"/>
        </w:rPr>
        <w:t xml:space="preserve"> m</w:t>
      </w:r>
      <w:r>
        <w:rPr>
          <w:rFonts w:ascii="Times New Roman" w:hAnsi="Times New Roman" w:cs="Calibri"/>
          <w:vertAlign w:val="superscript"/>
        </w:rPr>
        <w:t>3</w:t>
      </w:r>
      <w:r>
        <w:rPr>
          <w:rFonts w:ascii="Times New Roman" w:hAnsi="Times New Roman" w:cs="Calibri"/>
        </w:rPr>
        <w:t xml:space="preserve"> - </w:t>
      </w:r>
      <w:r w:rsidR="000C0633">
        <w:rPr>
          <w:rFonts w:ascii="Times New Roman" w:hAnsi="Times New Roman" w:cs="Calibri"/>
        </w:rPr>
        <w:t>1000</w:t>
      </w:r>
      <w:r>
        <w:rPr>
          <w:rFonts w:ascii="Times New Roman" w:hAnsi="Times New Roman" w:cs="Calibri"/>
        </w:rPr>
        <w:t xml:space="preserve"> m</w:t>
      </w:r>
      <w:r>
        <w:rPr>
          <w:rFonts w:ascii="Times New Roman" w:hAnsi="Times New Roman" w:cs="Calibri"/>
          <w:vertAlign w:val="superscript"/>
        </w:rPr>
        <w:t>3</w:t>
      </w:r>
      <w:r>
        <w:rPr>
          <w:rFonts w:ascii="Times New Roman" w:hAnsi="Times New Roman" w:cs="Calibri"/>
        </w:rPr>
        <w:t xml:space="preserve"> betona. Postrojenje za proizvodnju betona čini zatvorena miješalica za beton, boksovi za frakcije kamenog agregata,</w:t>
      </w:r>
      <w:r>
        <w:rPr>
          <w:rFonts w:ascii="Calibri" w:hAnsi="Calibri" w:cs="Calibri"/>
          <w:sz w:val="23"/>
          <w:szCs w:val="23"/>
        </w:rPr>
        <w:t xml:space="preserve"> </w:t>
      </w:r>
      <w:r>
        <w:rPr>
          <w:rFonts w:ascii="Times New Roman" w:hAnsi="Times New Roman" w:cs="Calibri"/>
        </w:rPr>
        <w:t xml:space="preserve">utovarna rampa, dozator za agregat, transportna traka za agregat, silosi za cement, vaga </w:t>
      </w:r>
      <w:r>
        <w:rPr>
          <w:rFonts w:ascii="Times New Roman" w:hAnsi="Times New Roman" w:cs="Calibri"/>
        </w:rPr>
        <w:lastRenderedPageBreak/>
        <w:t>sirovina, dozator vode, upravljačko – komandni sustav, a na nadstrešnicama iznad boksova za frakcije postavit će se fotonaponski moduli. Proizvodna građevina za proizvodnju betonske galanterije je planirana kao prizemna, montažna, čelična zgrada na armiranobetonskoj konstrukciji površine oko 1.522 m</w:t>
      </w:r>
      <w:r>
        <w:rPr>
          <w:rFonts w:ascii="Times New Roman" w:hAnsi="Times New Roman" w:cs="Calibri"/>
          <w:vertAlign w:val="superscript"/>
        </w:rPr>
        <w:t>2</w:t>
      </w:r>
      <w:r>
        <w:rPr>
          <w:rFonts w:ascii="Times New Roman" w:hAnsi="Times New Roman" w:cs="Calibri"/>
        </w:rPr>
        <w:t xml:space="preserve"> i visine do 8,35 m. Unutar obuhvata zahvata postavit će se i dva tipska kontejnera za uredski i sanitarni prostor, te će se izvesti interna prometnica i parkirališni prostor. Lokacija zahvata će biti ograđena, a ulaz na lokaciju će biti omogućen s pristupnog puta na k.č. br. 5035/2, k.o. Mokrice, preko dva poprečna kolna ulaza – priključka. </w:t>
      </w:r>
      <w:r>
        <w:rPr>
          <w:rFonts w:ascii="Times New Roman" w:hAnsi="Times New Roman" w:cs="Times New Roman"/>
        </w:rPr>
        <w:t>Detalji o zahvatu nalaze se u Elaboratu zaštite okoliša kojega je u lipnju 2022. godine izradio ovlaštenik C.I.A.K. d.o.o. iz Zagreba objavljenom uz ovu Informaciju.</w:t>
      </w:r>
    </w:p>
    <w:p w14:paraId="75776368" w14:textId="77777777" w:rsidR="001E3C9C" w:rsidRDefault="001E3C9C">
      <w:pPr>
        <w:jc w:val="both"/>
        <w:rPr>
          <w:b/>
          <w:sz w:val="24"/>
          <w:szCs w:val="24"/>
        </w:rPr>
      </w:pPr>
    </w:p>
    <w:p w14:paraId="002D7A7B" w14:textId="77777777" w:rsidR="001E3C9C" w:rsidRDefault="001E3C9C">
      <w:pPr>
        <w:jc w:val="both"/>
        <w:rPr>
          <w:sz w:val="24"/>
          <w:szCs w:val="24"/>
        </w:rPr>
      </w:pPr>
      <w:r>
        <w:rPr>
          <w:b/>
          <w:sz w:val="24"/>
          <w:szCs w:val="24"/>
        </w:rPr>
        <w:t>Sažeti opis postupka</w:t>
      </w:r>
    </w:p>
    <w:p w14:paraId="6BC07129" w14:textId="77777777" w:rsidR="001E3C9C" w:rsidRDefault="001E3C9C">
      <w:pPr>
        <w:jc w:val="both"/>
        <w:rPr>
          <w:sz w:val="24"/>
          <w:szCs w:val="24"/>
        </w:rPr>
      </w:pPr>
      <w:r>
        <w:rPr>
          <w:sz w:val="24"/>
          <w:szCs w:val="24"/>
        </w:rPr>
        <w:t>Nositelj zahvata je uz zahtjev o provedbi postupka ocjene o potrebi procjene utjecaja na okoliš dostavio Elaborat zaštite okoliša kojeg je izradio ovlaštenik za poslove zaštite okoliša. Temeljem Elaborata traže se mišljenja tijela i/ili osoba određenih posebnim propisima i/ili JLP(R)S o tome da li je moguće očekivati značajan negativan utjecaj na područje njihove nadležnosti. Nakon razmotrenih mišljenja tijela i/ili osoba određenih posebnim propisima i/ili JLP(R)S i mišljenja javnosti i zainteresirane javnosti, ovaj Upravni odjel će donijeti rješenje, kojim će biti utvrđeno je li potrebno provoditi postupak procjene utjecaja na okoliš ili nije te rezultate Prethodne ocjene prihvatljivosti zahvata za ekološku mrežu.</w:t>
      </w:r>
    </w:p>
    <w:p w14:paraId="50C21FBD" w14:textId="77777777" w:rsidR="001E3C9C" w:rsidRDefault="001E3C9C">
      <w:pPr>
        <w:jc w:val="both"/>
        <w:rPr>
          <w:sz w:val="24"/>
          <w:szCs w:val="24"/>
        </w:rPr>
      </w:pPr>
    </w:p>
    <w:p w14:paraId="424888D3" w14:textId="77777777" w:rsidR="001E3C9C" w:rsidRDefault="001E3C9C">
      <w:pPr>
        <w:jc w:val="both"/>
        <w:rPr>
          <w:sz w:val="24"/>
          <w:szCs w:val="24"/>
        </w:rPr>
      </w:pPr>
      <w:r>
        <w:rPr>
          <w:b/>
          <w:sz w:val="24"/>
          <w:szCs w:val="24"/>
        </w:rPr>
        <w:t xml:space="preserve">Nadležna tijela i pravne osobe s javnim ovlastima - sudionici u postupku: </w:t>
      </w:r>
    </w:p>
    <w:p w14:paraId="73B5E775" w14:textId="77777777" w:rsidR="001E3C9C" w:rsidRDefault="001E3C9C">
      <w:pPr>
        <w:numPr>
          <w:ilvl w:val="0"/>
          <w:numId w:val="2"/>
        </w:numPr>
        <w:jc w:val="both"/>
        <w:rPr>
          <w:sz w:val="24"/>
          <w:szCs w:val="24"/>
        </w:rPr>
      </w:pPr>
      <w:bookmarkStart w:id="0" w:name="_Hlk73361773"/>
      <w:r>
        <w:rPr>
          <w:sz w:val="24"/>
          <w:szCs w:val="24"/>
        </w:rPr>
        <w:t>Ministarstvo gospodarstva i održivog razvoja, Zavod za zaštitu okoliša i prirode, Radnička cesta 80/7, Zagreb,</w:t>
      </w:r>
    </w:p>
    <w:bookmarkEnd w:id="0"/>
    <w:p w14:paraId="247D676C" w14:textId="77777777" w:rsidR="001E3C9C" w:rsidRDefault="001E3C9C">
      <w:pPr>
        <w:numPr>
          <w:ilvl w:val="0"/>
          <w:numId w:val="2"/>
        </w:numPr>
        <w:jc w:val="both"/>
        <w:rPr>
          <w:sz w:val="24"/>
          <w:szCs w:val="24"/>
        </w:rPr>
      </w:pPr>
      <w:r>
        <w:rPr>
          <w:sz w:val="24"/>
          <w:szCs w:val="24"/>
        </w:rPr>
        <w:t>Grad Oroslavje, Oro trg 1, Oroslavje.</w:t>
      </w:r>
    </w:p>
    <w:p w14:paraId="79F54DB5" w14:textId="77777777" w:rsidR="001E3C9C" w:rsidRDefault="001E3C9C">
      <w:pPr>
        <w:jc w:val="both"/>
        <w:rPr>
          <w:sz w:val="24"/>
          <w:szCs w:val="24"/>
        </w:rPr>
      </w:pPr>
    </w:p>
    <w:p w14:paraId="52B310CA" w14:textId="77777777" w:rsidR="001E3C9C" w:rsidRDefault="001E3C9C">
      <w:pPr>
        <w:jc w:val="both"/>
        <w:rPr>
          <w:sz w:val="24"/>
          <w:szCs w:val="24"/>
        </w:rPr>
      </w:pPr>
      <w:r>
        <w:rPr>
          <w:b/>
          <w:sz w:val="24"/>
          <w:szCs w:val="24"/>
        </w:rPr>
        <w:t>Način očitovanja javnosti na informaciju</w:t>
      </w:r>
      <w:r>
        <w:rPr>
          <w:sz w:val="24"/>
          <w:szCs w:val="24"/>
        </w:rPr>
        <w:t xml:space="preserve"> </w:t>
      </w:r>
    </w:p>
    <w:p w14:paraId="3A97EEEC" w14:textId="77777777" w:rsidR="001E3C9C" w:rsidRDefault="001E3C9C">
      <w:pPr>
        <w:jc w:val="both"/>
        <w:rPr>
          <w:sz w:val="24"/>
          <w:szCs w:val="24"/>
        </w:rPr>
      </w:pPr>
      <w:r>
        <w:rPr>
          <w:sz w:val="24"/>
          <w:szCs w:val="24"/>
        </w:rPr>
        <w:t>Javnost i zainteresirana javnost mogu dostaviti mišljenje o zahtjevu za ocjenu o potrebi procjene utjecaja zahvata na okoliš u pisanom obliku na sljedeću adresu: Upravni odjel za prostorno uređenje, gradnju i zaštitu okoliša, Krapina, Magistratska 1, u roku od 30 dana od dana objave ove informacije, pozivom na gornju klasu.</w:t>
      </w:r>
    </w:p>
    <w:p w14:paraId="71B5AFE5" w14:textId="77777777" w:rsidR="001E3C9C" w:rsidRDefault="001E3C9C">
      <w:pPr>
        <w:jc w:val="both"/>
        <w:rPr>
          <w:sz w:val="24"/>
          <w:szCs w:val="24"/>
        </w:rPr>
      </w:pPr>
    </w:p>
    <w:p w14:paraId="6229CE10" w14:textId="77777777" w:rsidR="001E3C9C" w:rsidRDefault="001E3C9C">
      <w:pPr>
        <w:jc w:val="both"/>
        <w:rPr>
          <w:sz w:val="24"/>
          <w:szCs w:val="24"/>
        </w:rPr>
      </w:pPr>
      <w:r>
        <w:rPr>
          <w:b/>
          <w:sz w:val="24"/>
          <w:szCs w:val="24"/>
        </w:rPr>
        <w:t>Način informiranja javnosti i zainteresirane javnosti o ishodu postupka:</w:t>
      </w:r>
      <w:r>
        <w:rPr>
          <w:sz w:val="24"/>
          <w:szCs w:val="24"/>
        </w:rPr>
        <w:t xml:space="preserve"> Upravni odjel za prostorno uređenje, gradnju i zaštitu okoliša objavit će na svojim internetskim stranicama (</w:t>
      </w:r>
      <w:hyperlink r:id="rId6" w:history="1">
        <w:r>
          <w:rPr>
            <w:rStyle w:val="Hiperveza"/>
            <w:color w:val="auto"/>
            <w:sz w:val="24"/>
            <w:szCs w:val="24"/>
            <w:u w:val="none"/>
          </w:rPr>
          <w:t>www.kzz.hr</w:t>
        </w:r>
      </w:hyperlink>
      <w:r>
        <w:rPr>
          <w:sz w:val="24"/>
          <w:szCs w:val="24"/>
        </w:rPr>
        <w:t>) rješenje doneseno povodom predmetnog zahtjeva.</w:t>
      </w:r>
    </w:p>
    <w:p w14:paraId="78D32EF9" w14:textId="77777777" w:rsidR="001E3C9C" w:rsidRDefault="001E3C9C">
      <w:pPr>
        <w:jc w:val="both"/>
        <w:rPr>
          <w:sz w:val="24"/>
          <w:szCs w:val="24"/>
        </w:rPr>
      </w:pPr>
    </w:p>
    <w:p w14:paraId="58BE0DA0" w14:textId="77777777" w:rsidR="001E3C9C" w:rsidRDefault="001E3C9C">
      <w:pPr>
        <w:jc w:val="both"/>
        <w:rPr>
          <w:sz w:val="24"/>
          <w:szCs w:val="24"/>
        </w:rPr>
      </w:pPr>
    </w:p>
    <w:p w14:paraId="0E1DA70B" w14:textId="77777777" w:rsidR="001E3C9C" w:rsidRDefault="001E3C9C">
      <w:pPr>
        <w:ind w:left="4956"/>
        <w:jc w:val="center"/>
        <w:rPr>
          <w:sz w:val="24"/>
          <w:szCs w:val="24"/>
        </w:rPr>
      </w:pPr>
      <w:r>
        <w:rPr>
          <w:b/>
          <w:sz w:val="24"/>
          <w:szCs w:val="24"/>
        </w:rPr>
        <w:t>PROČELNIK</w:t>
      </w:r>
    </w:p>
    <w:p w14:paraId="229E0466" w14:textId="77777777" w:rsidR="001E3C9C" w:rsidRDefault="001E3C9C">
      <w:pPr>
        <w:ind w:left="4956"/>
        <w:jc w:val="center"/>
        <w:rPr>
          <w:sz w:val="24"/>
          <w:szCs w:val="24"/>
        </w:rPr>
      </w:pPr>
      <w:r>
        <w:rPr>
          <w:sz w:val="24"/>
          <w:szCs w:val="24"/>
        </w:rPr>
        <w:t>mr.sc. Stjepan Bručić, dipl.ing.građ.</w:t>
      </w:r>
    </w:p>
    <w:p w14:paraId="231B87C3" w14:textId="77777777" w:rsidR="001E3C9C" w:rsidRDefault="001E3C9C">
      <w:pPr>
        <w:ind w:firstLine="708"/>
        <w:jc w:val="both"/>
        <w:rPr>
          <w:sz w:val="24"/>
          <w:szCs w:val="24"/>
        </w:rPr>
      </w:pPr>
    </w:p>
    <w:sectPr w:rsidR="001E3C9C">
      <w:pgSz w:w="11906" w:h="16838"/>
      <w:pgMar w:top="1418" w:right="992" w:bottom="1418"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1283">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sz w:val="24"/>
        <w:szCs w:val="24"/>
      </w:rPr>
    </w:lvl>
  </w:abstractNum>
  <w:num w:numId="1" w16cid:durableId="1732313651">
    <w:abstractNumId w:val="0"/>
  </w:num>
  <w:num w:numId="2" w16cid:durableId="52718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33"/>
    <w:rsid w:val="000C0633"/>
    <w:rsid w:val="001E3C9C"/>
    <w:rsid w:val="00237715"/>
    <w:rsid w:val="00280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21CD31"/>
  <w15:chartTrackingRefBased/>
  <w15:docId w15:val="{10DC3885-BA2F-47D5-A460-2CB52D4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Naslov2">
    <w:name w:val="heading 2"/>
    <w:basedOn w:val="Normal"/>
    <w:next w:val="Normal"/>
    <w:qFormat/>
    <w:pPr>
      <w:keepNext/>
      <w:numPr>
        <w:ilvl w:val="1"/>
        <w:numId w:val="1"/>
      </w:numPr>
      <w:outlineLvl w:val="1"/>
    </w:pPr>
    <w:rPr>
      <w:b/>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Zadanifontodlomka1">
    <w:name w:val="Zadani font odlomka1"/>
  </w:style>
  <w:style w:type="character" w:styleId="Hiperveza">
    <w:name w:val="Hyperlink"/>
    <w:rPr>
      <w:color w:val="0000FF"/>
      <w:u w:val="single"/>
    </w:rPr>
  </w:style>
  <w:style w:type="character" w:customStyle="1" w:styleId="Naslov2Char">
    <w:name w:val="Naslov 2 Char"/>
    <w:rPr>
      <w:rFonts w:ascii="Times New Roman" w:eastAsia="Times New Roman" w:hAnsi="Times New Roman" w:cs="Times New Roman"/>
      <w:b/>
      <w:lang w:val="en-GB"/>
    </w:rPr>
  </w:style>
  <w:style w:type="character" w:customStyle="1" w:styleId="TijelotekstaChar">
    <w:name w:val="Tijelo teksta Char"/>
    <w:rPr>
      <w:rFonts w:ascii="Verdana" w:eastAsia="Times New Roman" w:hAnsi="Verdana" w:cs="Verdana"/>
    </w:rPr>
  </w:style>
  <w:style w:type="character" w:styleId="Naglaeno">
    <w:name w:val="Strong"/>
    <w:qFormat/>
    <w:rPr>
      <w:b/>
      <w:bCs/>
    </w:rPr>
  </w:style>
  <w:style w:type="character" w:customStyle="1" w:styleId="Tijeloteksta2Char">
    <w:name w:val="Tijelo teksta 2 Char"/>
    <w:rPr>
      <w:rFonts w:ascii="Times New Roman" w:eastAsia="Times New Roman" w:hAnsi="Times New Roman" w:cs="Times New Roman"/>
      <w:lang w:val="en-AU"/>
    </w:rPr>
  </w:style>
  <w:style w:type="character" w:customStyle="1" w:styleId="ZaglavljeChar">
    <w:name w:val="Zaglavlje Char"/>
    <w:rPr>
      <w:rFonts w:ascii="Times New Roman" w:eastAsia="Times New Roman" w:hAnsi="Times New Roman" w:cs="Times New Roman"/>
      <w:lang w:val="en-AU"/>
    </w:rPr>
  </w:style>
  <w:style w:type="character" w:customStyle="1" w:styleId="PodnojeChar">
    <w:name w:val="Podnožje Char"/>
    <w:rPr>
      <w:rFonts w:ascii="Times New Roman" w:eastAsia="Times New Roman" w:hAnsi="Times New Roman" w:cs="Times New Roman"/>
      <w:lang w:val="en-AU"/>
    </w:rPr>
  </w:style>
  <w:style w:type="paragraph" w:customStyle="1" w:styleId="Heading">
    <w:name w:val="Heading"/>
    <w:basedOn w:val="Normal"/>
    <w:next w:val="Tijeloteksta"/>
    <w:pPr>
      <w:keepNext/>
      <w:spacing w:before="240" w:after="120"/>
    </w:pPr>
    <w:rPr>
      <w:rFonts w:ascii="Arial" w:eastAsia="Microsoft YaHei" w:hAnsi="Arial" w:cs="Mangal"/>
      <w:sz w:val="28"/>
      <w:szCs w:val="28"/>
    </w:rPr>
  </w:style>
  <w:style w:type="paragraph" w:styleId="Tijeloteksta">
    <w:name w:val="Body Text"/>
    <w:basedOn w:val="Normal"/>
    <w:pPr>
      <w:tabs>
        <w:tab w:val="left" w:pos="851"/>
        <w:tab w:val="left" w:pos="1134"/>
      </w:tabs>
      <w:spacing w:after="120"/>
      <w:jc w:val="both"/>
    </w:pPr>
    <w:rPr>
      <w:rFonts w:ascii="Verdana" w:hAnsi="Verdana" w:cs="Verdana"/>
    </w:rPr>
  </w:style>
  <w:style w:type="paragraph" w:styleId="Popis">
    <w:name w:val="List"/>
    <w:basedOn w:val="Tijeloteksta"/>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ezproreda">
    <w:name w:val="No Spacing"/>
    <w:qFormat/>
    <w:pPr>
      <w:suppressAutoHyphens/>
    </w:pPr>
    <w:rPr>
      <w:rFonts w:ascii="Calibri" w:eastAsia="Calibri" w:hAnsi="Calibri"/>
      <w:sz w:val="22"/>
      <w:szCs w:val="22"/>
      <w:lang w:eastAsia="ar-SA"/>
    </w:rPr>
  </w:style>
  <w:style w:type="paragraph" w:customStyle="1" w:styleId="Tijeloteksta21">
    <w:name w:val="Tijelo teksta 21"/>
    <w:basedOn w:val="Normal"/>
    <w:pPr>
      <w:spacing w:after="120" w:line="480" w:lineRule="auto"/>
    </w:p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z.h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5197</CharactersWithSpaces>
  <SharedDoc>false</SharedDoc>
  <HLinks>
    <vt:vector size="6" baseType="variant">
      <vt:variant>
        <vt:i4>8192118</vt:i4>
      </vt:variant>
      <vt:variant>
        <vt:i4>0</vt:i4>
      </vt:variant>
      <vt:variant>
        <vt:i4>0</vt:i4>
      </vt:variant>
      <vt:variant>
        <vt:i4>5</vt:i4>
      </vt:variant>
      <vt:variant>
        <vt:lpwstr>http://www.kzz.hr/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bozica</dc:creator>
  <cp:keywords/>
  <cp:lastModifiedBy>Zoran Gumbas</cp:lastModifiedBy>
  <cp:revision>2</cp:revision>
  <cp:lastPrinted>2022-07-16T06:05:00Z</cp:lastPrinted>
  <dcterms:created xsi:type="dcterms:W3CDTF">2022-07-29T12:06:00Z</dcterms:created>
  <dcterms:modified xsi:type="dcterms:W3CDTF">2022-07-29T12:06:00Z</dcterms:modified>
</cp:coreProperties>
</file>