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5856"/>
      </w:tblGrid>
      <w:tr w:rsidR="002333D3" w:rsidTr="00943E84">
        <w:tc>
          <w:tcPr>
            <w:tcW w:w="9287" w:type="dxa"/>
            <w:gridSpan w:val="2"/>
            <w:shd w:val="clear" w:color="auto" w:fill="auto"/>
          </w:tcPr>
          <w:p w:rsidR="002333D3" w:rsidRDefault="002333D3"/>
          <w:p w:rsidR="002333D3" w:rsidRPr="00943E84" w:rsidRDefault="002333D3" w:rsidP="006F346E">
            <w:pPr>
              <w:jc w:val="center"/>
              <w:rPr>
                <w:sz w:val="28"/>
                <w:szCs w:val="28"/>
              </w:rPr>
            </w:pPr>
            <w:r w:rsidRPr="00943E84">
              <w:rPr>
                <w:b/>
                <w:sz w:val="28"/>
                <w:szCs w:val="28"/>
              </w:rPr>
              <w:t xml:space="preserve">IZVJEŠĆE O PROVEDENOM SAVJETOVANJU SA ZAINTERESIRANOM JAVNOŠĆU O </w:t>
            </w:r>
            <w:r w:rsidR="006F346E">
              <w:rPr>
                <w:b/>
                <w:sz w:val="28"/>
                <w:szCs w:val="28"/>
              </w:rPr>
              <w:t>NACRTU PRAVILNIKA O DODJELI POTPORE ZA POTICANJE PROIZVODNJE ZAGORSKIH MLINACA KRAPINSKO-ZAGORSKE ŽUPANIJE</w:t>
            </w:r>
            <w:r w:rsidR="00EF4D92">
              <w:rPr>
                <w:b/>
                <w:sz w:val="28"/>
                <w:szCs w:val="28"/>
              </w:rPr>
              <w:t xml:space="preserve"> U 2021. GODINI</w:t>
            </w:r>
          </w:p>
        </w:tc>
      </w:tr>
      <w:tr w:rsidR="002333D3" w:rsidTr="00943E84">
        <w:tc>
          <w:tcPr>
            <w:tcW w:w="3225" w:type="dxa"/>
            <w:shd w:val="clear" w:color="auto" w:fill="auto"/>
          </w:tcPr>
          <w:p w:rsidR="002333D3" w:rsidRPr="00943E84" w:rsidRDefault="002333D3">
            <w:pPr>
              <w:rPr>
                <w:b/>
              </w:rPr>
            </w:pPr>
            <w:r w:rsidRPr="00943E84">
              <w:rPr>
                <w:b/>
              </w:rPr>
              <w:t>Naziv dokumenta</w:t>
            </w:r>
          </w:p>
        </w:tc>
        <w:tc>
          <w:tcPr>
            <w:tcW w:w="6062" w:type="dxa"/>
            <w:shd w:val="clear" w:color="auto" w:fill="auto"/>
          </w:tcPr>
          <w:p w:rsidR="002333D3" w:rsidRPr="00194E71" w:rsidRDefault="006F346E" w:rsidP="002F3643">
            <w:pPr>
              <w:jc w:val="both"/>
            </w:pPr>
            <w:r>
              <w:t>Nacrt Pravilnika o dodjeli potpore za poticanje proizvodnje Zagorskih mlinaca Krapinsko-zagorske županije</w:t>
            </w:r>
            <w:r w:rsidR="00EF4D92">
              <w:t xml:space="preserve"> u 2021. godini</w:t>
            </w:r>
          </w:p>
        </w:tc>
      </w:tr>
      <w:tr w:rsidR="002333D3" w:rsidTr="00B5602A">
        <w:trPr>
          <w:trHeight w:val="694"/>
        </w:trPr>
        <w:tc>
          <w:tcPr>
            <w:tcW w:w="3225" w:type="dxa"/>
            <w:shd w:val="clear" w:color="auto" w:fill="auto"/>
          </w:tcPr>
          <w:p w:rsidR="002333D3" w:rsidRPr="00943E84" w:rsidRDefault="002333D3">
            <w:pPr>
              <w:rPr>
                <w:b/>
              </w:rPr>
            </w:pPr>
            <w:r w:rsidRPr="00943E84">
              <w:rPr>
                <w:b/>
              </w:rPr>
              <w:t>Stvaratelj dokumenta, tijelo koje je provelo savjetovanje</w:t>
            </w:r>
          </w:p>
        </w:tc>
        <w:tc>
          <w:tcPr>
            <w:tcW w:w="6062" w:type="dxa"/>
            <w:shd w:val="clear" w:color="auto" w:fill="auto"/>
          </w:tcPr>
          <w:p w:rsidR="002333D3" w:rsidRPr="00194E71" w:rsidRDefault="002F3643">
            <w:r w:rsidRPr="00194E71">
              <w:t>Upravni za gospodarstvo, poljoprivredu,</w:t>
            </w:r>
            <w:r w:rsidR="008D41CE">
              <w:t xml:space="preserve"> turizam,</w:t>
            </w:r>
            <w:r w:rsidRPr="00194E71">
              <w:t xml:space="preserve"> promet i komunalnu infrastrukturu</w:t>
            </w:r>
          </w:p>
        </w:tc>
      </w:tr>
      <w:tr w:rsidR="002333D3" w:rsidTr="00943E84">
        <w:tc>
          <w:tcPr>
            <w:tcW w:w="3225" w:type="dxa"/>
            <w:shd w:val="clear" w:color="auto" w:fill="auto"/>
          </w:tcPr>
          <w:p w:rsidR="002333D3" w:rsidRPr="00943E84" w:rsidRDefault="002333D3">
            <w:pPr>
              <w:rPr>
                <w:b/>
              </w:rPr>
            </w:pPr>
            <w:r w:rsidRPr="00943E84">
              <w:rPr>
                <w:b/>
              </w:rPr>
              <w:t>Svrha dokumenta</w:t>
            </w:r>
          </w:p>
        </w:tc>
        <w:tc>
          <w:tcPr>
            <w:tcW w:w="6062" w:type="dxa"/>
            <w:shd w:val="clear" w:color="auto" w:fill="auto"/>
          </w:tcPr>
          <w:p w:rsidR="00DE3194" w:rsidRPr="005E43E9" w:rsidRDefault="00A542F4" w:rsidP="005E43E9">
            <w:pPr>
              <w:spacing w:line="276" w:lineRule="auto"/>
              <w:jc w:val="both"/>
              <w:rPr>
                <w:rFonts w:eastAsia="Calibri"/>
                <w:lang w:eastAsia="en-US"/>
              </w:rPr>
            </w:pPr>
            <w:r>
              <w:t>Nacrt Pravilnika</w:t>
            </w:r>
            <w:r w:rsidR="00B5602A">
              <w:t xml:space="preserve"> o dodjeli potpore za poticanje proizvodn</w:t>
            </w:r>
            <w:r>
              <w:t>je Zagorskih mlinaca</w:t>
            </w:r>
            <w:r w:rsidR="003E361A">
              <w:t xml:space="preserve"> u </w:t>
            </w:r>
            <w:r w:rsidR="00EF4D92">
              <w:t>2021. godini</w:t>
            </w:r>
            <w:r>
              <w:t xml:space="preserve"> </w:t>
            </w:r>
            <w:r w:rsidR="007013CF">
              <w:t>ima za cilj dodjelu potpora kojima</w:t>
            </w:r>
            <w:r>
              <w:t xml:space="preserve"> će</w:t>
            </w:r>
            <w:r w:rsidR="007013CF">
              <w:t xml:space="preserve"> se</w:t>
            </w:r>
            <w:r>
              <w:t xml:space="preserve"> potaknuti </w:t>
            </w:r>
            <w:r w:rsidR="007013CF">
              <w:t>proizvodnja</w:t>
            </w:r>
            <w:r w:rsidR="008D41CE">
              <w:t xml:space="preserve"> Zagor</w:t>
            </w:r>
            <w:r w:rsidR="007013CF">
              <w:t>skih mlinaca te povećati njihova</w:t>
            </w:r>
            <w:r w:rsidR="008D41CE">
              <w:t xml:space="preserve"> konkurentnost i vidljivost na tržištu. </w:t>
            </w:r>
            <w:r w:rsidR="00B5602A">
              <w:t xml:space="preserve">Nacrtom Pravilnika </w:t>
            </w:r>
            <w:r w:rsidR="00B5602A" w:rsidRPr="005E43E9">
              <w:rPr>
                <w:shd w:val="clear" w:color="auto" w:fill="FFFFFF"/>
              </w:rPr>
              <w:t>utvrđuje se iznos sredstava</w:t>
            </w:r>
            <w:r w:rsidR="00B5602A" w:rsidRPr="005E43E9">
              <w:rPr>
                <w:rFonts w:eastAsia="Calibri"/>
              </w:rPr>
              <w:t>, način, uvjeti i krite</w:t>
            </w:r>
            <w:r w:rsidR="005E43E9">
              <w:rPr>
                <w:rFonts w:eastAsia="Calibri"/>
              </w:rPr>
              <w:t>riji dodjele potpore</w:t>
            </w:r>
            <w:r w:rsidR="00B5602A">
              <w:t xml:space="preserve"> </w:t>
            </w:r>
            <w:r w:rsidR="005E43E9" w:rsidRPr="005E43E9">
              <w:rPr>
                <w:rFonts w:eastAsia="Calibri"/>
                <w:lang w:eastAsia="en-US"/>
              </w:rPr>
              <w:t>usklađenim s</w:t>
            </w:r>
            <w:r w:rsidR="005E43E9" w:rsidRPr="005E43E9">
              <w:rPr>
                <w:b/>
              </w:rPr>
              <w:t xml:space="preserve"> </w:t>
            </w:r>
            <w:r w:rsidR="005E43E9" w:rsidRPr="00D80032">
              <w:t xml:space="preserve">Uredbom Komisije (EU) br. 1407/2013 </w:t>
            </w:r>
            <w:proofErr w:type="spellStart"/>
            <w:r w:rsidR="005E43E9" w:rsidRPr="00D80032">
              <w:t>оd</w:t>
            </w:r>
            <w:proofErr w:type="spellEnd"/>
            <w:r w:rsidR="005E43E9" w:rsidRPr="00D80032">
              <w:t xml:space="preserve"> 18. prosinca 2013. o primjeni članaka 107. i 108. Ugovora o funkcioniranju Europske unije na de </w:t>
            </w:r>
            <w:proofErr w:type="spellStart"/>
            <w:r w:rsidR="005E43E9" w:rsidRPr="00D80032">
              <w:t>minimis</w:t>
            </w:r>
            <w:proofErr w:type="spellEnd"/>
            <w:r w:rsidR="005E43E9" w:rsidRPr="00D80032">
              <w:t xml:space="preserve"> potpore ( SL L 352 od 24 . prosinca 2013) i Uredbom Komisije (EU) 2020/972 od 02. srpnja 2020. o izmijeni Uredbe (EU) br. 1407/2013 u pogledu njezina produljenja i o izmjeni Uredbe (EU) br. 651/2014. u pogledu njezina produljenja i odgovarajućih prilagodbi  (SL L215/3, 07 srpnja 2020.) u daljnjem tekstu (Uredba 1407/2013). </w:t>
            </w:r>
          </w:p>
        </w:tc>
      </w:tr>
      <w:tr w:rsidR="008B3E93" w:rsidTr="00B5602A">
        <w:trPr>
          <w:trHeight w:val="1463"/>
        </w:trPr>
        <w:tc>
          <w:tcPr>
            <w:tcW w:w="3225" w:type="dxa"/>
            <w:shd w:val="clear" w:color="auto" w:fill="auto"/>
          </w:tcPr>
          <w:p w:rsidR="008B3E93" w:rsidRPr="00943E84" w:rsidRDefault="008B3E93">
            <w:pPr>
              <w:rPr>
                <w:b/>
              </w:rPr>
            </w:pPr>
            <w:r w:rsidRPr="00943E84">
              <w:rPr>
                <w:b/>
              </w:rPr>
              <w:t>Radno tijelo za izradu Nacrta</w:t>
            </w:r>
          </w:p>
        </w:tc>
        <w:tc>
          <w:tcPr>
            <w:tcW w:w="6062" w:type="dxa"/>
            <w:shd w:val="clear" w:color="auto" w:fill="auto"/>
          </w:tcPr>
          <w:p w:rsidR="008B3E93" w:rsidRDefault="005F1BD9" w:rsidP="00A6376D">
            <w:pPr>
              <w:spacing w:line="276" w:lineRule="auto"/>
              <w:jc w:val="both"/>
            </w:pPr>
            <w:r>
              <w:t>mr. Sanja Mihovilić</w:t>
            </w:r>
            <w:r w:rsidR="00FF3296">
              <w:t>,</w:t>
            </w:r>
            <w:r>
              <w:t xml:space="preserve"> </w:t>
            </w:r>
            <w:proofErr w:type="spellStart"/>
            <w:r>
              <w:t>dipl.ing</w:t>
            </w:r>
            <w:proofErr w:type="spellEnd"/>
            <w:r>
              <w:t>.,</w:t>
            </w:r>
            <w:r w:rsidR="00FF3296">
              <w:t xml:space="preserve"> pročelnica Upravnog odjela za </w:t>
            </w:r>
            <w:r>
              <w:t>gospodarstvo, poljoprivredu,</w:t>
            </w:r>
            <w:r w:rsidR="00C927E1">
              <w:t xml:space="preserve"> turizam,</w:t>
            </w:r>
            <w:r>
              <w:t xml:space="preserve"> promet i komunalnu infrastrukturu,  </w:t>
            </w:r>
          </w:p>
          <w:p w:rsidR="001171B7" w:rsidRDefault="005F1BD9" w:rsidP="00A6376D">
            <w:pPr>
              <w:spacing w:line="276" w:lineRule="auto"/>
              <w:jc w:val="both"/>
            </w:pPr>
            <w:r>
              <w:t>Tihana Husak,</w:t>
            </w:r>
            <w:r w:rsidR="001171B7">
              <w:t xml:space="preserve"> </w:t>
            </w:r>
            <w:proofErr w:type="spellStart"/>
            <w:r w:rsidR="001171B7">
              <w:t>dipl.iur</w:t>
            </w:r>
            <w:proofErr w:type="spellEnd"/>
            <w:r w:rsidR="001171B7">
              <w:t xml:space="preserve">., </w:t>
            </w:r>
            <w:r w:rsidR="00C927E1">
              <w:t xml:space="preserve"> viša </w:t>
            </w:r>
            <w:r w:rsidR="001171B7">
              <w:t>savjetnica za pravne poslove,</w:t>
            </w:r>
          </w:p>
          <w:p w:rsidR="00CA66FE" w:rsidRDefault="001171B7" w:rsidP="00A6376D">
            <w:pPr>
              <w:spacing w:line="276" w:lineRule="auto"/>
              <w:jc w:val="both"/>
            </w:pPr>
            <w:r>
              <w:t xml:space="preserve">Snježana Murr,  </w:t>
            </w:r>
            <w:proofErr w:type="spellStart"/>
            <w:r>
              <w:t>dipl.ing.ag</w:t>
            </w:r>
            <w:r w:rsidR="007013CF">
              <w:t>r</w:t>
            </w:r>
            <w:proofErr w:type="spellEnd"/>
            <w:r w:rsidR="007013CF">
              <w:t>., savjetnica za poljoprivredu.</w:t>
            </w:r>
          </w:p>
        </w:tc>
      </w:tr>
      <w:tr w:rsidR="00C12F8A" w:rsidTr="00943E84">
        <w:tc>
          <w:tcPr>
            <w:tcW w:w="3225" w:type="dxa"/>
            <w:vMerge w:val="restart"/>
            <w:shd w:val="clear" w:color="auto" w:fill="auto"/>
          </w:tcPr>
          <w:p w:rsidR="00C12F8A" w:rsidRPr="00943E84" w:rsidRDefault="00C12F8A">
            <w:pPr>
              <w:rPr>
                <w:b/>
              </w:rPr>
            </w:pPr>
            <w:r w:rsidRPr="00943E84">
              <w:rPr>
                <w:b/>
              </w:rPr>
              <w:t>Internetska stranica na kojoj je bio objavljen javni poziv</w:t>
            </w:r>
          </w:p>
        </w:tc>
        <w:tc>
          <w:tcPr>
            <w:tcW w:w="6062" w:type="dxa"/>
            <w:shd w:val="clear" w:color="auto" w:fill="auto"/>
          </w:tcPr>
          <w:p w:rsidR="00C12F8A" w:rsidRDefault="006801F7" w:rsidP="00943E84">
            <w:pPr>
              <w:jc w:val="both"/>
            </w:pPr>
            <w:hyperlink r:id="rId5" w:history="1">
              <w:r w:rsidR="00C12F8A" w:rsidRPr="00EB5523">
                <w:rPr>
                  <w:rStyle w:val="Hiperveza"/>
                </w:rPr>
                <w:t>www.kzz.hr</w:t>
              </w:r>
            </w:hyperlink>
            <w:r w:rsidR="00C12F8A">
              <w:t xml:space="preserve"> – internetska stranica Krapinsko-zagorske županije</w:t>
            </w:r>
          </w:p>
          <w:p w:rsidR="00862E60" w:rsidRDefault="00862E60" w:rsidP="00943E84">
            <w:pPr>
              <w:jc w:val="both"/>
            </w:pPr>
          </w:p>
        </w:tc>
      </w:tr>
      <w:tr w:rsidR="00C12F8A" w:rsidTr="00943E84">
        <w:tc>
          <w:tcPr>
            <w:tcW w:w="3225" w:type="dxa"/>
            <w:vMerge/>
            <w:shd w:val="clear" w:color="auto" w:fill="auto"/>
          </w:tcPr>
          <w:p w:rsidR="00C12F8A" w:rsidRPr="00943E84" w:rsidRDefault="00C12F8A">
            <w:pPr>
              <w:rPr>
                <w:b/>
              </w:rPr>
            </w:pPr>
          </w:p>
        </w:tc>
        <w:tc>
          <w:tcPr>
            <w:tcW w:w="6062" w:type="dxa"/>
            <w:shd w:val="clear" w:color="auto" w:fill="auto"/>
          </w:tcPr>
          <w:p w:rsidR="00C12F8A" w:rsidRDefault="00C12F8A" w:rsidP="00943E84">
            <w:pPr>
              <w:jc w:val="both"/>
            </w:pPr>
            <w:r>
              <w:t>Internetsko savjetovanje sa zaintere</w:t>
            </w:r>
            <w:r w:rsidR="00C41AA5">
              <w:t>siranom javnošću traja</w:t>
            </w:r>
            <w:r w:rsidR="005E43E9">
              <w:t>lo je od 03. svibnja do 07</w:t>
            </w:r>
            <w:r w:rsidR="001171B7">
              <w:t>. s</w:t>
            </w:r>
            <w:r w:rsidR="005E43E9">
              <w:t>vibnja 2021</w:t>
            </w:r>
            <w:r>
              <w:t>. godine</w:t>
            </w:r>
          </w:p>
        </w:tc>
      </w:tr>
      <w:tr w:rsidR="00C12F8A" w:rsidTr="00943E84">
        <w:tc>
          <w:tcPr>
            <w:tcW w:w="3225" w:type="dxa"/>
            <w:shd w:val="clear" w:color="auto" w:fill="auto"/>
          </w:tcPr>
          <w:p w:rsidR="00C12F8A" w:rsidRPr="00943E84" w:rsidRDefault="00C12F8A">
            <w:pPr>
              <w:rPr>
                <w:b/>
              </w:rPr>
            </w:pPr>
            <w:r w:rsidRPr="00943E84">
              <w:rPr>
                <w:b/>
              </w:rPr>
              <w:t>Predstavnici zainteresirane javnosti koji su dostavili svoja očitovanja</w:t>
            </w:r>
          </w:p>
        </w:tc>
        <w:tc>
          <w:tcPr>
            <w:tcW w:w="6062" w:type="dxa"/>
            <w:shd w:val="clear" w:color="auto" w:fill="auto"/>
          </w:tcPr>
          <w:p w:rsidR="00A542F4" w:rsidRPr="00A542F4" w:rsidRDefault="00A542F4" w:rsidP="001171B7">
            <w:pPr>
              <w:jc w:val="both"/>
            </w:pPr>
            <w:r w:rsidRPr="00A542F4">
              <w:t xml:space="preserve">Anonimni podnositelj </w:t>
            </w:r>
          </w:p>
          <w:p w:rsidR="007F1E67" w:rsidRDefault="007F1E67" w:rsidP="001171B7">
            <w:pPr>
              <w:jc w:val="both"/>
            </w:pPr>
            <w:r w:rsidRPr="00A542F4">
              <w:t xml:space="preserve">Anonimni </w:t>
            </w:r>
            <w:r w:rsidR="001E740C" w:rsidRPr="00A542F4">
              <w:t>podnositelj</w:t>
            </w:r>
            <w:r w:rsidR="005E43E9">
              <w:t>i</w:t>
            </w:r>
          </w:p>
          <w:p w:rsidR="00A6376D" w:rsidRPr="00A542F4" w:rsidRDefault="00A6376D" w:rsidP="001171B7">
            <w:pPr>
              <w:jc w:val="both"/>
            </w:pPr>
            <w:r>
              <w:t xml:space="preserve">Anonimni podnositelj </w:t>
            </w:r>
          </w:p>
        </w:tc>
      </w:tr>
      <w:tr w:rsidR="00C12F8A" w:rsidTr="00943E84">
        <w:tc>
          <w:tcPr>
            <w:tcW w:w="3225" w:type="dxa"/>
            <w:shd w:val="clear" w:color="auto" w:fill="auto"/>
          </w:tcPr>
          <w:p w:rsidR="00C12F8A" w:rsidRPr="00943E84" w:rsidRDefault="00C12F8A">
            <w:pPr>
              <w:rPr>
                <w:b/>
              </w:rPr>
            </w:pPr>
            <w:r w:rsidRPr="00943E84">
              <w:rPr>
                <w:b/>
              </w:rPr>
              <w:t>Prihvaćene/neprihvaćene primjedbe</w:t>
            </w:r>
          </w:p>
        </w:tc>
        <w:tc>
          <w:tcPr>
            <w:tcW w:w="6062" w:type="dxa"/>
            <w:shd w:val="clear" w:color="auto" w:fill="auto"/>
          </w:tcPr>
          <w:p w:rsidR="00C12F8A" w:rsidRDefault="00F50D3D" w:rsidP="00A6376D">
            <w:pPr>
              <w:jc w:val="both"/>
            </w:pPr>
            <w:r>
              <w:t>Objedinjene su u priloženom Savjetovanju sa zainteresiranom javnošću</w:t>
            </w:r>
          </w:p>
        </w:tc>
      </w:tr>
      <w:tr w:rsidR="00C12F8A" w:rsidTr="00943E84">
        <w:tc>
          <w:tcPr>
            <w:tcW w:w="3225" w:type="dxa"/>
            <w:shd w:val="clear" w:color="auto" w:fill="auto"/>
          </w:tcPr>
          <w:p w:rsidR="00C12F8A" w:rsidRPr="00943E84" w:rsidRDefault="00C12F8A">
            <w:pPr>
              <w:rPr>
                <w:b/>
              </w:rPr>
            </w:pPr>
            <w:r w:rsidRPr="00943E84">
              <w:rPr>
                <w:b/>
              </w:rPr>
              <w:t>Troškovi provedenog savjetovanja</w:t>
            </w:r>
          </w:p>
        </w:tc>
        <w:tc>
          <w:tcPr>
            <w:tcW w:w="6062" w:type="dxa"/>
            <w:shd w:val="clear" w:color="auto" w:fill="auto"/>
          </w:tcPr>
          <w:p w:rsidR="00C12F8A" w:rsidRDefault="00C12F8A" w:rsidP="00943E84">
            <w:pPr>
              <w:jc w:val="both"/>
            </w:pPr>
            <w:r>
              <w:t>Provedba javnog savjetovanja nije iziskivala dodatne financijske troškove.</w:t>
            </w:r>
          </w:p>
          <w:p w:rsidR="00C12F8A" w:rsidRDefault="00C12F8A" w:rsidP="00943E84">
            <w:pPr>
              <w:jc w:val="both"/>
            </w:pPr>
          </w:p>
        </w:tc>
      </w:tr>
    </w:tbl>
    <w:p w:rsidR="008A416B" w:rsidRDefault="008A416B" w:rsidP="00624EB3"/>
    <w:p w:rsidR="006801F7" w:rsidRDefault="006801F7" w:rsidP="00624EB3">
      <w:pPr>
        <w:sectPr w:rsidR="006801F7" w:rsidSect="00B86EF0">
          <w:pgSz w:w="11907" w:h="16840" w:code="9"/>
          <w:pgMar w:top="1418" w:right="1418" w:bottom="1418" w:left="1418" w:header="1418" w:footer="1418" w:gutter="0"/>
          <w:cols w:space="708"/>
          <w:docGrid w:linePitch="360"/>
        </w:sectPr>
      </w:pPr>
    </w:p>
    <w:p w:rsidR="006801F7" w:rsidRDefault="006801F7" w:rsidP="006801F7">
      <w:pPr>
        <w:rPr>
          <w:b/>
        </w:rPr>
      </w:pPr>
      <w:r>
        <w:rPr>
          <w:b/>
        </w:rPr>
        <w:lastRenderedPageBreak/>
        <w:t xml:space="preserve">    KRAPINSKO-ZAGORSKA ŽUPANIJA</w:t>
      </w:r>
    </w:p>
    <w:p w:rsidR="006801F7" w:rsidRDefault="006801F7" w:rsidP="006801F7">
      <w:pPr>
        <w:rPr>
          <w:b/>
        </w:rPr>
      </w:pPr>
      <w:r>
        <w:rPr>
          <w:b/>
        </w:rPr>
        <w:t xml:space="preserve">  Upravni odjel za gospodarstvo, poljoprivredu, </w:t>
      </w:r>
    </w:p>
    <w:p w:rsidR="006801F7" w:rsidRDefault="006801F7" w:rsidP="006801F7">
      <w:pPr>
        <w:rPr>
          <w:b/>
        </w:rPr>
      </w:pPr>
      <w:r>
        <w:rPr>
          <w:b/>
        </w:rPr>
        <w:t xml:space="preserve">  turizam, promet i komunalnu infrastrukturu</w:t>
      </w:r>
    </w:p>
    <w:p w:rsidR="006801F7" w:rsidRDefault="006801F7" w:rsidP="006801F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6801F7" w:rsidTr="00604133">
        <w:trPr>
          <w:trHeight w:val="868"/>
        </w:trPr>
        <w:tc>
          <w:tcPr>
            <w:tcW w:w="14220" w:type="dxa"/>
            <w:shd w:val="clear" w:color="auto" w:fill="auto"/>
          </w:tcPr>
          <w:p w:rsidR="006801F7" w:rsidRPr="00C3483D" w:rsidRDefault="006801F7" w:rsidP="00604133">
            <w:pPr>
              <w:rPr>
                <w:sz w:val="32"/>
                <w:szCs w:val="32"/>
              </w:rPr>
            </w:pPr>
          </w:p>
          <w:p w:rsidR="006801F7" w:rsidRPr="00C3483D" w:rsidRDefault="006801F7" w:rsidP="00604133">
            <w:pPr>
              <w:jc w:val="center"/>
              <w:rPr>
                <w:b/>
                <w:sz w:val="32"/>
                <w:szCs w:val="32"/>
              </w:rPr>
            </w:pPr>
            <w:r w:rsidRPr="00C3483D">
              <w:rPr>
                <w:b/>
                <w:sz w:val="32"/>
                <w:szCs w:val="32"/>
              </w:rPr>
              <w:t>SAVJETOVANJE SA ZAINTERESIRANOM JAVNOŠĆU</w:t>
            </w:r>
          </w:p>
          <w:p w:rsidR="006801F7" w:rsidRPr="00C3483D" w:rsidRDefault="006801F7" w:rsidP="00604133">
            <w:pPr>
              <w:jc w:val="center"/>
              <w:rPr>
                <w:b/>
                <w:sz w:val="28"/>
                <w:szCs w:val="28"/>
              </w:rPr>
            </w:pPr>
          </w:p>
        </w:tc>
      </w:tr>
      <w:tr w:rsidR="006801F7" w:rsidTr="00604133">
        <w:tc>
          <w:tcPr>
            <w:tcW w:w="14220" w:type="dxa"/>
            <w:shd w:val="clear" w:color="auto" w:fill="auto"/>
          </w:tcPr>
          <w:p w:rsidR="006801F7" w:rsidRDefault="006801F7" w:rsidP="00604133"/>
          <w:p w:rsidR="006801F7" w:rsidRPr="00C3483D" w:rsidRDefault="006801F7" w:rsidP="00604133">
            <w:pPr>
              <w:jc w:val="center"/>
              <w:rPr>
                <w:b/>
                <w:i/>
              </w:rPr>
            </w:pPr>
            <w:r>
              <w:rPr>
                <w:b/>
                <w:i/>
                <w:sz w:val="28"/>
                <w:szCs w:val="28"/>
              </w:rPr>
              <w:t>Nacrt Pravilnika o dodjeli potpore za poticanje proizvodnje Zagorskih mlinaca Krapinsko-zagorske županije u 2021. godini</w:t>
            </w:r>
          </w:p>
        </w:tc>
      </w:tr>
      <w:tr w:rsidR="006801F7" w:rsidTr="00604133">
        <w:tc>
          <w:tcPr>
            <w:tcW w:w="14220" w:type="dxa"/>
            <w:shd w:val="clear" w:color="auto" w:fill="auto"/>
          </w:tcPr>
          <w:p w:rsidR="006801F7" w:rsidRPr="00C3483D" w:rsidRDefault="006801F7" w:rsidP="00604133">
            <w:pPr>
              <w:jc w:val="both"/>
              <w:rPr>
                <w:i/>
              </w:rPr>
            </w:pPr>
            <w:r w:rsidRPr="00C3483D">
              <w:rPr>
                <w:i/>
              </w:rPr>
              <w:t xml:space="preserve">Krapinsko-zagorska županija objavljuje objedinjene primjedbe zaprimljene od strane predstavnika zainteresirane javnosti koji su dostavili primjedbe na </w:t>
            </w:r>
            <w:r w:rsidRPr="00B70C2A">
              <w:rPr>
                <w:i/>
              </w:rPr>
              <w:t>Nacrt Pravilnika o dodjeli potpore za poticanje proizvodnje Zagorskih mlinaca Krapinsko-zagorske županije</w:t>
            </w:r>
            <w:r>
              <w:rPr>
                <w:i/>
              </w:rPr>
              <w:t xml:space="preserve"> u 2021. godini u razdoblju od 03. svibnja do 07. svibnja 2021</w:t>
            </w:r>
            <w:r w:rsidRPr="00C3483D">
              <w:rPr>
                <w:i/>
              </w:rPr>
              <w:t>. godine.</w:t>
            </w:r>
          </w:p>
        </w:tc>
      </w:tr>
    </w:tbl>
    <w:p w:rsidR="006801F7" w:rsidRDefault="006801F7" w:rsidP="006801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1898"/>
        <w:gridCol w:w="1694"/>
        <w:gridCol w:w="5472"/>
        <w:gridCol w:w="4240"/>
      </w:tblGrid>
      <w:tr w:rsidR="006801F7" w:rsidTr="00604133">
        <w:tc>
          <w:tcPr>
            <w:tcW w:w="690" w:type="dxa"/>
            <w:shd w:val="clear" w:color="auto" w:fill="auto"/>
          </w:tcPr>
          <w:p w:rsidR="006801F7" w:rsidRPr="00C3483D" w:rsidRDefault="006801F7" w:rsidP="00604133">
            <w:pPr>
              <w:rPr>
                <w:b/>
              </w:rPr>
            </w:pPr>
            <w:r w:rsidRPr="00C3483D">
              <w:rPr>
                <w:b/>
              </w:rPr>
              <w:t>Red.</w:t>
            </w:r>
          </w:p>
          <w:p w:rsidR="006801F7" w:rsidRPr="00C3483D" w:rsidRDefault="006801F7" w:rsidP="00604133">
            <w:pPr>
              <w:rPr>
                <w:b/>
              </w:rPr>
            </w:pPr>
            <w:r w:rsidRPr="00C3483D">
              <w:rPr>
                <w:b/>
              </w:rPr>
              <w:t>br.</w:t>
            </w:r>
          </w:p>
        </w:tc>
        <w:tc>
          <w:tcPr>
            <w:tcW w:w="1898" w:type="dxa"/>
            <w:shd w:val="clear" w:color="auto" w:fill="auto"/>
          </w:tcPr>
          <w:p w:rsidR="006801F7" w:rsidRPr="00C3483D" w:rsidRDefault="006801F7" w:rsidP="00604133">
            <w:pPr>
              <w:rPr>
                <w:b/>
              </w:rPr>
            </w:pPr>
            <w:r w:rsidRPr="00C3483D">
              <w:rPr>
                <w:b/>
              </w:rPr>
              <w:t xml:space="preserve">Naziv dionika </w:t>
            </w:r>
          </w:p>
          <w:p w:rsidR="006801F7" w:rsidRPr="00C3483D" w:rsidRDefault="006801F7" w:rsidP="00604133">
            <w:pPr>
              <w:rPr>
                <w:b/>
              </w:rPr>
            </w:pPr>
            <w:r w:rsidRPr="00C3483D">
              <w:rPr>
                <w:b/>
              </w:rPr>
              <w:t>(pojedinac, organizacija, institucija)</w:t>
            </w:r>
          </w:p>
        </w:tc>
        <w:tc>
          <w:tcPr>
            <w:tcW w:w="1694" w:type="dxa"/>
            <w:shd w:val="clear" w:color="auto" w:fill="auto"/>
          </w:tcPr>
          <w:p w:rsidR="006801F7" w:rsidRPr="00C3483D" w:rsidRDefault="006801F7" w:rsidP="00604133">
            <w:pPr>
              <w:rPr>
                <w:b/>
              </w:rPr>
            </w:pPr>
            <w:r w:rsidRPr="00C3483D">
              <w:rPr>
                <w:b/>
              </w:rPr>
              <w:t xml:space="preserve">Članak na </w:t>
            </w:r>
          </w:p>
          <w:p w:rsidR="006801F7" w:rsidRPr="00C3483D" w:rsidRDefault="006801F7" w:rsidP="00604133">
            <w:pPr>
              <w:rPr>
                <w:b/>
              </w:rPr>
            </w:pPr>
            <w:r w:rsidRPr="00C3483D">
              <w:rPr>
                <w:b/>
              </w:rPr>
              <w:t xml:space="preserve">koji se </w:t>
            </w:r>
          </w:p>
          <w:p w:rsidR="006801F7" w:rsidRPr="00C3483D" w:rsidRDefault="006801F7" w:rsidP="00604133">
            <w:pPr>
              <w:rPr>
                <w:b/>
              </w:rPr>
            </w:pPr>
            <w:r w:rsidRPr="00C3483D">
              <w:rPr>
                <w:b/>
              </w:rPr>
              <w:t>odnosi primjedba/</w:t>
            </w:r>
          </w:p>
          <w:p w:rsidR="006801F7" w:rsidRPr="00C3483D" w:rsidRDefault="006801F7" w:rsidP="00604133">
            <w:pPr>
              <w:rPr>
                <w:b/>
              </w:rPr>
            </w:pPr>
            <w:r w:rsidRPr="00C3483D">
              <w:rPr>
                <w:b/>
              </w:rPr>
              <w:t>prijedlog</w:t>
            </w:r>
          </w:p>
        </w:tc>
        <w:tc>
          <w:tcPr>
            <w:tcW w:w="5472" w:type="dxa"/>
            <w:shd w:val="clear" w:color="auto" w:fill="auto"/>
          </w:tcPr>
          <w:p w:rsidR="006801F7" w:rsidRDefault="006801F7" w:rsidP="00604133"/>
          <w:p w:rsidR="006801F7" w:rsidRDefault="006801F7" w:rsidP="00604133"/>
          <w:p w:rsidR="006801F7" w:rsidRPr="00C3483D" w:rsidRDefault="006801F7" w:rsidP="00604133">
            <w:pPr>
              <w:rPr>
                <w:b/>
              </w:rPr>
            </w:pPr>
            <w:r w:rsidRPr="00C3483D">
              <w:rPr>
                <w:b/>
              </w:rPr>
              <w:t>Tekst primjedbe / prijedloga</w:t>
            </w:r>
          </w:p>
          <w:p w:rsidR="006801F7" w:rsidRPr="00C3483D" w:rsidRDefault="006801F7" w:rsidP="00604133">
            <w:pPr>
              <w:rPr>
                <w:b/>
              </w:rPr>
            </w:pPr>
          </w:p>
        </w:tc>
        <w:tc>
          <w:tcPr>
            <w:tcW w:w="4240" w:type="dxa"/>
            <w:shd w:val="clear" w:color="auto" w:fill="auto"/>
          </w:tcPr>
          <w:p w:rsidR="006801F7" w:rsidRPr="00C3483D" w:rsidRDefault="006801F7" w:rsidP="00604133">
            <w:pPr>
              <w:rPr>
                <w:b/>
              </w:rPr>
            </w:pPr>
            <w:r w:rsidRPr="00C3483D">
              <w:rPr>
                <w:b/>
              </w:rPr>
              <w:t>Razlog prihvaćanja/</w:t>
            </w:r>
          </w:p>
          <w:p w:rsidR="006801F7" w:rsidRPr="00C3483D" w:rsidRDefault="006801F7" w:rsidP="00604133">
            <w:pPr>
              <w:rPr>
                <w:b/>
              </w:rPr>
            </w:pPr>
            <w:r>
              <w:rPr>
                <w:b/>
              </w:rPr>
              <w:t>n</w:t>
            </w:r>
            <w:r w:rsidRPr="00C3483D">
              <w:rPr>
                <w:b/>
              </w:rPr>
              <w:t>eprihvaćanja</w:t>
            </w:r>
            <w:r>
              <w:rPr>
                <w:b/>
              </w:rPr>
              <w:t xml:space="preserve"> </w:t>
            </w:r>
            <w:r w:rsidRPr="00C3483D">
              <w:rPr>
                <w:b/>
              </w:rPr>
              <w:t>primjedbe ili</w:t>
            </w:r>
            <w:r>
              <w:rPr>
                <w:b/>
              </w:rPr>
              <w:t xml:space="preserve"> </w:t>
            </w:r>
            <w:r w:rsidRPr="00C3483D">
              <w:rPr>
                <w:b/>
              </w:rPr>
              <w:t>prijedloga</w:t>
            </w:r>
          </w:p>
        </w:tc>
      </w:tr>
      <w:tr w:rsidR="006801F7" w:rsidTr="00604133">
        <w:tc>
          <w:tcPr>
            <w:tcW w:w="690" w:type="dxa"/>
            <w:shd w:val="clear" w:color="auto" w:fill="auto"/>
          </w:tcPr>
          <w:p w:rsidR="006801F7" w:rsidRPr="00C3483D" w:rsidRDefault="006801F7" w:rsidP="00604133">
            <w:pPr>
              <w:rPr>
                <w:b/>
              </w:rPr>
            </w:pPr>
            <w:r>
              <w:rPr>
                <w:b/>
              </w:rPr>
              <w:t>1.</w:t>
            </w:r>
          </w:p>
        </w:tc>
        <w:tc>
          <w:tcPr>
            <w:tcW w:w="1898" w:type="dxa"/>
            <w:shd w:val="clear" w:color="auto" w:fill="auto"/>
          </w:tcPr>
          <w:p w:rsidR="006801F7" w:rsidRPr="00C3483D" w:rsidRDefault="006801F7" w:rsidP="00604133">
            <w:pPr>
              <w:rPr>
                <w:b/>
              </w:rPr>
            </w:pPr>
            <w:r>
              <w:rPr>
                <w:b/>
              </w:rPr>
              <w:t>Anonimni prijavitelj</w:t>
            </w:r>
          </w:p>
        </w:tc>
        <w:tc>
          <w:tcPr>
            <w:tcW w:w="1694" w:type="dxa"/>
            <w:shd w:val="clear" w:color="auto" w:fill="auto"/>
          </w:tcPr>
          <w:p w:rsidR="006801F7" w:rsidRPr="00755A78" w:rsidRDefault="006801F7" w:rsidP="00604133">
            <w:r>
              <w:t xml:space="preserve">Članak 6. stavak 2., alineja a) </w:t>
            </w:r>
          </w:p>
        </w:tc>
        <w:tc>
          <w:tcPr>
            <w:tcW w:w="5472" w:type="dxa"/>
            <w:shd w:val="clear" w:color="auto" w:fill="auto"/>
          </w:tcPr>
          <w:p w:rsidR="006801F7" w:rsidRDefault="006801F7" w:rsidP="00604133">
            <w:pPr>
              <w:spacing w:line="276" w:lineRule="auto"/>
              <w:jc w:val="both"/>
            </w:pPr>
            <w:r>
              <w:t xml:space="preserve">Načelno je istaknuta primjedba da ako se Pravilnik zove „za dodjelu potpore </w:t>
            </w:r>
            <w:r w:rsidRPr="00350A0D">
              <w:rPr>
                <w:b/>
              </w:rPr>
              <w:t>za poticanje proizvodnje</w:t>
            </w:r>
            <w:r>
              <w:t xml:space="preserve">  zagorskih mlinaca“ misli se da je područje proizvodnje zagorskih mlinaca </w:t>
            </w:r>
            <w:r w:rsidRPr="00350A0D">
              <w:rPr>
                <w:b/>
              </w:rPr>
              <w:t>prošireno</w:t>
            </w:r>
            <w:r>
              <w:rPr>
                <w:b/>
              </w:rPr>
              <w:t>,</w:t>
            </w:r>
            <w:r>
              <w:t xml:space="preserve"> kako je utvrđeno u članku 3. stavku 1., alineja c) i ne bi trebao biti ograničen na tvrtke, obrte i ostale subjekte s isključivim sjedištem na području Krapinsko-zagorske županije.</w:t>
            </w:r>
          </w:p>
        </w:tc>
        <w:tc>
          <w:tcPr>
            <w:tcW w:w="4240" w:type="dxa"/>
            <w:shd w:val="clear" w:color="auto" w:fill="auto"/>
          </w:tcPr>
          <w:p w:rsidR="006801F7" w:rsidRDefault="006801F7" w:rsidP="00604133">
            <w:pPr>
              <w:rPr>
                <w:b/>
              </w:rPr>
            </w:pPr>
            <w:r>
              <w:rPr>
                <w:b/>
              </w:rPr>
              <w:t xml:space="preserve">Ne prihvaća se. </w:t>
            </w:r>
          </w:p>
          <w:p w:rsidR="006801F7" w:rsidRDefault="006801F7" w:rsidP="00604133">
            <w:pPr>
              <w:pStyle w:val="Bezproreda"/>
              <w:spacing w:line="276" w:lineRule="auto"/>
              <w:rPr>
                <w:rStyle w:val="Naglaeno"/>
                <w:b w:val="0"/>
                <w:sz w:val="23"/>
                <w:szCs w:val="23"/>
                <w:shd w:val="clear" w:color="auto" w:fill="FFFFFF"/>
              </w:rPr>
            </w:pPr>
            <w:r>
              <w:t>Krapinsko-zagorska županija ima za cilj  na tržište ponuditi veće količine „Zagorskih mlinca“ koji na ambalaži  nose</w:t>
            </w:r>
            <w:r w:rsidRPr="00A05461">
              <w:rPr>
                <w:sz w:val="23"/>
                <w:szCs w:val="23"/>
                <w:shd w:val="clear" w:color="auto" w:fill="FFFFFF"/>
              </w:rPr>
              <w:t xml:space="preserve"> </w:t>
            </w:r>
            <w:r>
              <w:rPr>
                <w:sz w:val="23"/>
                <w:szCs w:val="23"/>
                <w:shd w:val="clear" w:color="auto" w:fill="FFFFFF"/>
              </w:rPr>
              <w:t>znak Z</w:t>
            </w:r>
            <w:r w:rsidRPr="00A05461">
              <w:rPr>
                <w:sz w:val="23"/>
                <w:szCs w:val="23"/>
                <w:shd w:val="clear" w:color="auto" w:fill="FFFFFF"/>
              </w:rPr>
              <w:t>aštićen</w:t>
            </w:r>
            <w:r>
              <w:rPr>
                <w:sz w:val="23"/>
                <w:szCs w:val="23"/>
                <w:shd w:val="clear" w:color="auto" w:fill="FFFFFF"/>
              </w:rPr>
              <w:t>e</w:t>
            </w:r>
            <w:r w:rsidRPr="00A05461">
              <w:rPr>
                <w:rStyle w:val="Naglaeno"/>
                <w:sz w:val="23"/>
                <w:szCs w:val="23"/>
                <w:shd w:val="clear" w:color="auto" w:fill="FFFFFF"/>
              </w:rPr>
              <w:t> o</w:t>
            </w:r>
            <w:r>
              <w:rPr>
                <w:rStyle w:val="Naglaeno"/>
                <w:sz w:val="23"/>
                <w:szCs w:val="23"/>
                <w:shd w:val="clear" w:color="auto" w:fill="FFFFFF"/>
              </w:rPr>
              <w:t xml:space="preserve">znake </w:t>
            </w:r>
            <w:r w:rsidRPr="00A05461">
              <w:rPr>
                <w:rStyle w:val="Naglaeno"/>
                <w:sz w:val="23"/>
                <w:szCs w:val="23"/>
                <w:shd w:val="clear" w:color="auto" w:fill="FFFFFF"/>
              </w:rPr>
              <w:t>zemljopisnog podrijetla</w:t>
            </w:r>
            <w:r>
              <w:rPr>
                <w:rStyle w:val="Naglaeno"/>
                <w:sz w:val="23"/>
                <w:szCs w:val="23"/>
                <w:shd w:val="clear" w:color="auto" w:fill="FFFFFF"/>
              </w:rPr>
              <w:t xml:space="preserve"> „Zagorski mlinci“.</w:t>
            </w:r>
          </w:p>
          <w:p w:rsidR="006801F7" w:rsidRPr="00374ECD" w:rsidRDefault="006801F7" w:rsidP="00604133">
            <w:pPr>
              <w:pStyle w:val="Bezproreda"/>
              <w:spacing w:line="276" w:lineRule="auto"/>
              <w:rPr>
                <w:rFonts w:eastAsia="Calibri"/>
                <w:lang w:eastAsia="en-US"/>
              </w:rPr>
            </w:pPr>
            <w:r>
              <w:rPr>
                <w:rStyle w:val="Naglaeno"/>
                <w:sz w:val="23"/>
                <w:szCs w:val="23"/>
                <w:shd w:val="clear" w:color="auto" w:fill="FFFFFF"/>
              </w:rPr>
              <w:t xml:space="preserve">Nacrt predloženog akta je usmjeren na dodjelu bespovratne potpore za  certificirane proizvođače Zagorskih </w:t>
            </w:r>
            <w:r>
              <w:rPr>
                <w:rStyle w:val="Naglaeno"/>
                <w:sz w:val="23"/>
                <w:szCs w:val="23"/>
                <w:shd w:val="clear" w:color="auto" w:fill="FFFFFF"/>
              </w:rPr>
              <w:lastRenderedPageBreak/>
              <w:t>mlinaca koji imaju  isključivo sjedište  na području Krapinsko-zagorske županije.</w:t>
            </w:r>
          </w:p>
        </w:tc>
      </w:tr>
      <w:tr w:rsidR="006801F7" w:rsidTr="00604133">
        <w:trPr>
          <w:trHeight w:val="1827"/>
        </w:trPr>
        <w:tc>
          <w:tcPr>
            <w:tcW w:w="690" w:type="dxa"/>
            <w:shd w:val="clear" w:color="auto" w:fill="auto"/>
          </w:tcPr>
          <w:p w:rsidR="006801F7" w:rsidRDefault="006801F7" w:rsidP="00604133">
            <w:pPr>
              <w:spacing w:line="276" w:lineRule="auto"/>
              <w:jc w:val="both"/>
              <w:rPr>
                <w:b/>
              </w:rPr>
            </w:pPr>
            <w:r>
              <w:rPr>
                <w:b/>
              </w:rPr>
              <w:lastRenderedPageBreak/>
              <w:t>2.</w:t>
            </w:r>
          </w:p>
        </w:tc>
        <w:tc>
          <w:tcPr>
            <w:tcW w:w="1898" w:type="dxa"/>
            <w:shd w:val="clear" w:color="auto" w:fill="auto"/>
          </w:tcPr>
          <w:p w:rsidR="006801F7" w:rsidRPr="00C3483D" w:rsidRDefault="006801F7" w:rsidP="00604133">
            <w:pPr>
              <w:spacing w:line="276" w:lineRule="auto"/>
              <w:jc w:val="both"/>
              <w:rPr>
                <w:b/>
              </w:rPr>
            </w:pPr>
            <w:r>
              <w:rPr>
                <w:b/>
              </w:rPr>
              <w:t xml:space="preserve">Anonimni podnositelj </w:t>
            </w:r>
          </w:p>
        </w:tc>
        <w:tc>
          <w:tcPr>
            <w:tcW w:w="1694" w:type="dxa"/>
            <w:shd w:val="clear" w:color="auto" w:fill="auto"/>
          </w:tcPr>
          <w:p w:rsidR="006801F7" w:rsidRDefault="006801F7" w:rsidP="00604133">
            <w:pPr>
              <w:spacing w:line="276" w:lineRule="auto"/>
            </w:pPr>
            <w:r>
              <w:t xml:space="preserve">Članak 5. </w:t>
            </w:r>
          </w:p>
        </w:tc>
        <w:tc>
          <w:tcPr>
            <w:tcW w:w="5472" w:type="dxa"/>
            <w:shd w:val="clear" w:color="auto" w:fill="auto"/>
          </w:tcPr>
          <w:p w:rsidR="006801F7" w:rsidRDefault="006801F7" w:rsidP="00604133">
            <w:pPr>
              <w:spacing w:line="276" w:lineRule="auto"/>
              <w:jc w:val="both"/>
              <w:rPr>
                <w:rFonts w:eastAsia="Arial"/>
                <w:color w:val="232426"/>
              </w:rPr>
            </w:pPr>
            <w:r>
              <w:rPr>
                <w:rFonts w:eastAsia="Arial"/>
                <w:color w:val="232426"/>
              </w:rPr>
              <w:t xml:space="preserve">Ovaj natječaj izlazi u trenutku kada je teže nego ikad proizvoditi certificirane Zagorske mlince te za njih pronaći poziciju na policama trgovačkih lanaca, a samim time i na stolovima krajnjih kupaca. Tržište je preplavljeno jeftinim strojno rađenim mlincima kao i jeftinim strojno rađenim kopijama Zagorskih mlinaca.  Suočeni s takvom nelojalnom konkurencijom, prave Zagorske mlince koji su ručno proizvedeni i rađeni po Specifikaciji, prisiljeni smo prodavati čak i bez zarade, samo da uspiju ostati na policama. </w:t>
            </w:r>
          </w:p>
          <w:p w:rsidR="006801F7" w:rsidRDefault="006801F7" w:rsidP="00604133">
            <w:pPr>
              <w:spacing w:line="276" w:lineRule="auto"/>
              <w:jc w:val="both"/>
              <w:rPr>
                <w:rFonts w:eastAsia="Arial"/>
                <w:color w:val="232426"/>
              </w:rPr>
            </w:pPr>
            <w:r>
              <w:rPr>
                <w:rFonts w:eastAsia="Arial"/>
                <w:color w:val="232426"/>
              </w:rPr>
              <w:t xml:space="preserve">Naša skupina proizvođača ne želi diskriminirati nikog od kolega koji pošteno rade i proizvode Zagorske mlinice prema Specifikaciji proizvoda Zagorski mlinci, no smatramo kako je nužno napraviti distinkciju između proizvođača i to najviše na temelju proizvedene količine Zagorskih mlinaca, kako bi raspodjela županijskog poticaja bila „fer“ i stvarno potaknula povećanje proizvodnje Zagorskih mlinaca i njihovu zastupljenost na tržištu. Kako bi bolje razumjeli situaciju moramo napomenuti kako se certificirani proizvođač Zagorskih mlinaca i samim time i subjekt prihvatljiv za poticaj može postati s proizvodnjom 1 kg Zagorskih mlinaca godišnje. Naravno, smatramo kako </w:t>
            </w:r>
            <w:r>
              <w:rPr>
                <w:rFonts w:eastAsia="Arial"/>
                <w:color w:val="232426"/>
              </w:rPr>
              <w:lastRenderedPageBreak/>
              <w:t xml:space="preserve">cilj ne bi trebao biti da se jednakim iznosom potiču proizvođači koji godišnje proizvedu 500 kg Zagorskih mlinaca i onih koji ih proizvode 50.000,00 kg. </w:t>
            </w:r>
          </w:p>
          <w:p w:rsidR="006801F7" w:rsidRDefault="006801F7" w:rsidP="00604133">
            <w:pPr>
              <w:spacing w:line="276" w:lineRule="auto"/>
              <w:jc w:val="both"/>
              <w:rPr>
                <w:rFonts w:eastAsia="Arial"/>
                <w:color w:val="232426"/>
              </w:rPr>
            </w:pPr>
          </w:p>
          <w:p w:rsidR="006801F7" w:rsidRDefault="006801F7" w:rsidP="00604133">
            <w:pPr>
              <w:spacing w:line="276" w:lineRule="auto"/>
              <w:jc w:val="both"/>
              <w:rPr>
                <w:rFonts w:eastAsia="Arial"/>
                <w:color w:val="232426"/>
              </w:rPr>
            </w:pPr>
            <w:r>
              <w:rPr>
                <w:rFonts w:eastAsia="Arial"/>
                <w:color w:val="232426"/>
              </w:rPr>
              <w:t>Razlozi zašto tako smatramo su:</w:t>
            </w:r>
          </w:p>
          <w:p w:rsidR="006801F7" w:rsidRDefault="006801F7" w:rsidP="006801F7">
            <w:pPr>
              <w:pStyle w:val="Odlomakpopisa"/>
              <w:numPr>
                <w:ilvl w:val="0"/>
                <w:numId w:val="2"/>
              </w:numPr>
              <w:spacing w:line="276" w:lineRule="auto"/>
              <w:jc w:val="both"/>
              <w:rPr>
                <w:rFonts w:eastAsia="Arial"/>
                <w:color w:val="232426"/>
              </w:rPr>
            </w:pPr>
            <w:r>
              <w:rPr>
                <w:rFonts w:eastAsia="Arial"/>
                <w:color w:val="232426"/>
              </w:rPr>
              <w:t xml:space="preserve">Troškovi ulaganja koja ima proizvođač koji proizvodi 50.000,00 kg mlinaca nisu isti kao i ulaganja proizvođača koji proizvodi 500 kg, </w:t>
            </w:r>
          </w:p>
          <w:p w:rsidR="006801F7" w:rsidRDefault="006801F7" w:rsidP="006801F7">
            <w:pPr>
              <w:pStyle w:val="Odlomakpopisa"/>
              <w:numPr>
                <w:ilvl w:val="0"/>
                <w:numId w:val="2"/>
              </w:numPr>
              <w:spacing w:line="276" w:lineRule="auto"/>
              <w:jc w:val="both"/>
              <w:rPr>
                <w:rFonts w:eastAsia="Arial"/>
                <w:color w:val="232426"/>
              </w:rPr>
            </w:pPr>
            <w:r>
              <w:rPr>
                <w:rFonts w:eastAsia="Arial"/>
                <w:color w:val="232426"/>
              </w:rPr>
              <w:t xml:space="preserve">Doprinos proizvođača promociji i zastupljenosti Zagorskih mlinaca i promociji Krapinsko-zagorske županije nije isti u slučaju manjeg i većeg proizvođača, </w:t>
            </w:r>
            <w:r w:rsidRPr="003A3A97">
              <w:rPr>
                <w:rFonts w:eastAsia="Arial"/>
                <w:color w:val="232426"/>
              </w:rPr>
              <w:t xml:space="preserve"> </w:t>
            </w:r>
          </w:p>
          <w:p w:rsidR="006801F7" w:rsidRDefault="006801F7" w:rsidP="006801F7">
            <w:pPr>
              <w:pStyle w:val="Odlomakpopisa"/>
              <w:numPr>
                <w:ilvl w:val="0"/>
                <w:numId w:val="2"/>
              </w:numPr>
              <w:spacing w:line="276" w:lineRule="auto"/>
              <w:jc w:val="both"/>
              <w:rPr>
                <w:rFonts w:eastAsia="Arial"/>
                <w:color w:val="232426"/>
              </w:rPr>
            </w:pPr>
            <w:r>
              <w:rPr>
                <w:rFonts w:eastAsia="Arial"/>
                <w:color w:val="232426"/>
              </w:rPr>
              <w:t xml:space="preserve">Broj ljudi koji se zapošljava u manjoj i većoj proizvodnji naravno nije jednak, a samim time ni doprinos ostvarenju ciljeva Krapinsko-zagorske županije u rješavanju problema nezaposlenosti. </w:t>
            </w:r>
          </w:p>
          <w:p w:rsidR="006801F7" w:rsidRPr="003C2EE8" w:rsidRDefault="006801F7" w:rsidP="00604133">
            <w:pPr>
              <w:spacing w:line="276" w:lineRule="auto"/>
              <w:jc w:val="both"/>
              <w:rPr>
                <w:rFonts w:eastAsia="Arial"/>
                <w:color w:val="232426"/>
              </w:rPr>
            </w:pPr>
            <w:r>
              <w:rPr>
                <w:rFonts w:eastAsia="Arial"/>
                <w:color w:val="232426"/>
              </w:rPr>
              <w:t xml:space="preserve">Nastavno na rečeno, naš je prijedlog da se sredstva koja se dodjeljuju na natječaju podijele u dvije skupine te da iznos potencijalno ostvarive potpore ovisi direktno o količini Zagorskih mlinaca sastavljenih na tržište u periodu od godinu dana. </w:t>
            </w:r>
          </w:p>
          <w:p w:rsidR="006801F7" w:rsidRDefault="006801F7" w:rsidP="00604133">
            <w:pPr>
              <w:spacing w:line="276" w:lineRule="auto"/>
              <w:jc w:val="both"/>
              <w:rPr>
                <w:rFonts w:eastAsia="Arial"/>
                <w:color w:val="232426"/>
              </w:rPr>
            </w:pPr>
          </w:p>
          <w:p w:rsidR="006801F7" w:rsidRDefault="006801F7" w:rsidP="00604133">
            <w:pPr>
              <w:spacing w:line="296" w:lineRule="auto"/>
              <w:ind w:right="157"/>
              <w:jc w:val="both"/>
              <w:rPr>
                <w:rFonts w:eastAsia="Arial"/>
                <w:color w:val="232426"/>
              </w:rPr>
            </w:pPr>
            <w:r>
              <w:rPr>
                <w:rFonts w:eastAsia="Arial"/>
                <w:color w:val="232426"/>
              </w:rPr>
              <w:t xml:space="preserve">Naš prijedlog podijeliti dostupna sredstva ovako: </w:t>
            </w:r>
          </w:p>
          <w:p w:rsidR="006801F7" w:rsidRDefault="006801F7" w:rsidP="006801F7">
            <w:pPr>
              <w:pStyle w:val="Odlomakpopisa"/>
              <w:numPr>
                <w:ilvl w:val="0"/>
                <w:numId w:val="3"/>
              </w:numPr>
              <w:spacing w:line="296" w:lineRule="auto"/>
              <w:ind w:right="157"/>
              <w:jc w:val="both"/>
            </w:pPr>
            <w:r>
              <w:t>Skupina- proizvođači s plasmanom Zagorskih mlinaca od 0 do 10 tona godišnje:</w:t>
            </w:r>
          </w:p>
          <w:p w:rsidR="006801F7" w:rsidRDefault="006801F7" w:rsidP="006801F7">
            <w:pPr>
              <w:pStyle w:val="Odlomakpopisa"/>
              <w:numPr>
                <w:ilvl w:val="0"/>
                <w:numId w:val="4"/>
              </w:numPr>
              <w:spacing w:line="296" w:lineRule="auto"/>
              <w:ind w:right="157"/>
              <w:jc w:val="both"/>
            </w:pPr>
            <w:r>
              <w:lastRenderedPageBreak/>
              <w:t>Minimalni poticaj 20.000,00 kuna, a maksimalni poticaj 30.000,00 kuna</w:t>
            </w:r>
          </w:p>
          <w:p w:rsidR="006801F7" w:rsidRDefault="006801F7" w:rsidP="006801F7">
            <w:pPr>
              <w:pStyle w:val="Odlomakpopisa"/>
              <w:numPr>
                <w:ilvl w:val="0"/>
                <w:numId w:val="3"/>
              </w:numPr>
              <w:spacing w:line="296" w:lineRule="auto"/>
              <w:ind w:right="157"/>
              <w:jc w:val="both"/>
            </w:pPr>
            <w:r>
              <w:t>Skupina-proizvođači s plasmanom Zagorskih mlinaca s više od 10 t godišnje:</w:t>
            </w:r>
          </w:p>
          <w:p w:rsidR="006801F7" w:rsidRDefault="006801F7" w:rsidP="006801F7">
            <w:pPr>
              <w:pStyle w:val="Odlomakpopisa"/>
              <w:numPr>
                <w:ilvl w:val="0"/>
                <w:numId w:val="4"/>
              </w:numPr>
              <w:spacing w:line="296" w:lineRule="auto"/>
              <w:ind w:right="157"/>
              <w:jc w:val="both"/>
            </w:pPr>
            <w:r>
              <w:t>Minimalni poticaj 60.000,00 kuna, a maksimalni poticaj 80.000,00 kuna.</w:t>
            </w:r>
          </w:p>
          <w:p w:rsidR="006801F7" w:rsidRDefault="006801F7" w:rsidP="00604133">
            <w:pPr>
              <w:spacing w:line="296" w:lineRule="auto"/>
              <w:ind w:right="157"/>
              <w:jc w:val="both"/>
            </w:pPr>
            <w:r>
              <w:t>Količinu plasmana zagorskih mlinaca na tržište može se i treba utvrditi isključivo na temelju obrasca OB-5, čija se točnost i istinitost lako provjerava.</w:t>
            </w:r>
          </w:p>
        </w:tc>
        <w:tc>
          <w:tcPr>
            <w:tcW w:w="4240" w:type="dxa"/>
            <w:shd w:val="clear" w:color="auto" w:fill="auto"/>
          </w:tcPr>
          <w:p w:rsidR="006801F7" w:rsidRPr="0066617F" w:rsidRDefault="006801F7" w:rsidP="00604133">
            <w:pPr>
              <w:pStyle w:val="Bezproreda"/>
              <w:spacing w:line="276" w:lineRule="auto"/>
              <w:jc w:val="both"/>
              <w:rPr>
                <w:rFonts w:eastAsia="Calibri"/>
                <w:b/>
                <w:lang w:eastAsia="en-US"/>
              </w:rPr>
            </w:pPr>
            <w:r>
              <w:rPr>
                <w:rFonts w:eastAsia="Calibri"/>
                <w:b/>
                <w:lang w:eastAsia="en-US"/>
              </w:rPr>
              <w:lastRenderedPageBreak/>
              <w:t xml:space="preserve">Prihvaća se. </w:t>
            </w:r>
          </w:p>
        </w:tc>
      </w:tr>
      <w:tr w:rsidR="006801F7" w:rsidTr="00604133">
        <w:trPr>
          <w:trHeight w:val="693"/>
        </w:trPr>
        <w:tc>
          <w:tcPr>
            <w:tcW w:w="690" w:type="dxa"/>
            <w:shd w:val="clear" w:color="auto" w:fill="auto"/>
          </w:tcPr>
          <w:p w:rsidR="006801F7" w:rsidRDefault="006801F7" w:rsidP="00604133">
            <w:pPr>
              <w:spacing w:line="276" w:lineRule="auto"/>
              <w:jc w:val="both"/>
              <w:rPr>
                <w:b/>
              </w:rPr>
            </w:pPr>
            <w:r>
              <w:rPr>
                <w:b/>
              </w:rPr>
              <w:lastRenderedPageBreak/>
              <w:t xml:space="preserve">3. </w:t>
            </w:r>
          </w:p>
        </w:tc>
        <w:tc>
          <w:tcPr>
            <w:tcW w:w="1898" w:type="dxa"/>
            <w:shd w:val="clear" w:color="auto" w:fill="auto"/>
          </w:tcPr>
          <w:p w:rsidR="006801F7" w:rsidRDefault="006801F7" w:rsidP="00604133">
            <w:pPr>
              <w:spacing w:line="276" w:lineRule="auto"/>
              <w:jc w:val="both"/>
              <w:rPr>
                <w:b/>
              </w:rPr>
            </w:pPr>
            <w:r w:rsidRPr="00296F18">
              <w:rPr>
                <w:b/>
              </w:rPr>
              <w:t>Anonimni podnositelj</w:t>
            </w:r>
            <w:r>
              <w:rPr>
                <w:b/>
              </w:rPr>
              <w:t xml:space="preserve"> </w:t>
            </w:r>
          </w:p>
        </w:tc>
        <w:tc>
          <w:tcPr>
            <w:tcW w:w="1694" w:type="dxa"/>
            <w:shd w:val="clear" w:color="auto" w:fill="auto"/>
          </w:tcPr>
          <w:p w:rsidR="006801F7" w:rsidRDefault="006801F7" w:rsidP="00604133">
            <w:pPr>
              <w:spacing w:line="276" w:lineRule="auto"/>
            </w:pPr>
            <w:r>
              <w:t>Članak 12.,</w:t>
            </w:r>
          </w:p>
          <w:p w:rsidR="006801F7" w:rsidRDefault="006801F7" w:rsidP="00604133">
            <w:pPr>
              <w:spacing w:line="276" w:lineRule="auto"/>
            </w:pPr>
            <w:r>
              <w:t>red.br.2</w:t>
            </w:r>
          </w:p>
        </w:tc>
        <w:tc>
          <w:tcPr>
            <w:tcW w:w="5472" w:type="dxa"/>
            <w:shd w:val="clear" w:color="auto" w:fill="auto"/>
          </w:tcPr>
          <w:p w:rsidR="006801F7" w:rsidRDefault="006801F7" w:rsidP="00604133">
            <w:pPr>
              <w:spacing w:line="276" w:lineRule="auto"/>
              <w:jc w:val="both"/>
            </w:pPr>
            <w:r>
              <w:t xml:space="preserve">Primjedba se odnosi na članak 12. Nacrta Pravilnika, Kriterij bodovanja za dodjelu potpore za poticanje Zagorskih mlinaca Krapinsko-zagorske županije. Smatramo da kriterij pod rednim brojem 2.; broj zaposlenih u mikro, malom i srednjem poduzeću (obrti i trgovačka društva) nije relevantna za dodjelu potpore, odnosno da navedeni kriterij ne mora nužno biti u izravnoj vezi da proizvodnjom Zagorskih mlinaca koju određeni subjekt obavlja. Primjerice, poslovni subjekt može zapošljavati 10 djelatnika, od kojih samo dvoje može biti raspoređeno na poslove proizvodnje zagorskih mlinaca, dok se ostali u tvrtki mogu baviti sasvim drugom djelatnošću koja ne doprinosi samoj proizvodnji ili plasmanu Zagorskih mlinaca. S obzirom da je teško ili nemoguće dokazati koliko zaposlenih djelatnika u jednoj tvrtki zaista radi na poslovima povezanim s proizvodnjom Zagorskih mlinaca, </w:t>
            </w:r>
            <w:r>
              <w:lastRenderedPageBreak/>
              <w:t xml:space="preserve">smatramo da ovaj kriterij treba izbrisati iz sustava bodovanja. </w:t>
            </w:r>
          </w:p>
        </w:tc>
        <w:tc>
          <w:tcPr>
            <w:tcW w:w="4240" w:type="dxa"/>
            <w:shd w:val="clear" w:color="auto" w:fill="auto"/>
          </w:tcPr>
          <w:p w:rsidR="006801F7" w:rsidRDefault="006801F7" w:rsidP="00604133">
            <w:pPr>
              <w:pStyle w:val="Bezproreda"/>
              <w:spacing w:line="276" w:lineRule="auto"/>
              <w:jc w:val="both"/>
              <w:rPr>
                <w:rFonts w:eastAsia="Calibri"/>
                <w:b/>
                <w:lang w:eastAsia="en-US"/>
              </w:rPr>
            </w:pPr>
            <w:r>
              <w:rPr>
                <w:rFonts w:eastAsia="Calibri"/>
                <w:b/>
                <w:lang w:eastAsia="en-US"/>
              </w:rPr>
              <w:lastRenderedPageBreak/>
              <w:t xml:space="preserve">Ne prihvaća se.  </w:t>
            </w:r>
          </w:p>
          <w:p w:rsidR="006801F7" w:rsidRPr="003976A3" w:rsidRDefault="006801F7" w:rsidP="00604133">
            <w:pPr>
              <w:pStyle w:val="Bezproreda"/>
              <w:spacing w:line="276" w:lineRule="auto"/>
              <w:jc w:val="both"/>
              <w:rPr>
                <w:rFonts w:eastAsia="Calibri"/>
                <w:lang w:eastAsia="en-US"/>
              </w:rPr>
            </w:pPr>
            <w:r w:rsidRPr="003976A3">
              <w:rPr>
                <w:rFonts w:eastAsia="Calibri"/>
                <w:lang w:eastAsia="en-US"/>
              </w:rPr>
              <w:t>Kriterij</w:t>
            </w:r>
            <w:r>
              <w:rPr>
                <w:rFonts w:eastAsia="Calibri"/>
                <w:lang w:eastAsia="en-US"/>
              </w:rPr>
              <w:t xml:space="preserve"> bodovanja prema broju zaposlenih u mikro, malom i srednjem poduzeću (obrti i trgovačka društva) ostaje.</w:t>
            </w:r>
          </w:p>
        </w:tc>
      </w:tr>
      <w:tr w:rsidR="006801F7" w:rsidTr="00604133">
        <w:trPr>
          <w:trHeight w:val="1399"/>
        </w:trPr>
        <w:tc>
          <w:tcPr>
            <w:tcW w:w="690" w:type="dxa"/>
            <w:shd w:val="clear" w:color="auto" w:fill="auto"/>
          </w:tcPr>
          <w:p w:rsidR="006801F7" w:rsidRDefault="006801F7" w:rsidP="00604133">
            <w:pPr>
              <w:spacing w:line="276" w:lineRule="auto"/>
              <w:jc w:val="both"/>
              <w:rPr>
                <w:b/>
              </w:rPr>
            </w:pPr>
          </w:p>
        </w:tc>
        <w:tc>
          <w:tcPr>
            <w:tcW w:w="1898" w:type="dxa"/>
            <w:shd w:val="clear" w:color="auto" w:fill="auto"/>
          </w:tcPr>
          <w:p w:rsidR="006801F7" w:rsidRDefault="006801F7" w:rsidP="00604133">
            <w:pPr>
              <w:spacing w:line="276" w:lineRule="auto"/>
              <w:jc w:val="both"/>
              <w:rPr>
                <w:b/>
              </w:rPr>
            </w:pPr>
          </w:p>
        </w:tc>
        <w:tc>
          <w:tcPr>
            <w:tcW w:w="1694" w:type="dxa"/>
            <w:shd w:val="clear" w:color="auto" w:fill="auto"/>
          </w:tcPr>
          <w:p w:rsidR="006801F7" w:rsidRDefault="006801F7" w:rsidP="00604133">
            <w:pPr>
              <w:spacing w:line="276" w:lineRule="auto"/>
            </w:pPr>
            <w:r>
              <w:t xml:space="preserve">Članka 12. </w:t>
            </w:r>
          </w:p>
          <w:p w:rsidR="006801F7" w:rsidRDefault="006801F7" w:rsidP="00604133">
            <w:pPr>
              <w:spacing w:line="276" w:lineRule="auto"/>
            </w:pPr>
            <w:r>
              <w:t>red. br.4.</w:t>
            </w:r>
          </w:p>
        </w:tc>
        <w:tc>
          <w:tcPr>
            <w:tcW w:w="5472" w:type="dxa"/>
            <w:shd w:val="clear" w:color="auto" w:fill="auto"/>
          </w:tcPr>
          <w:p w:rsidR="006801F7" w:rsidRDefault="006801F7" w:rsidP="00604133">
            <w:pPr>
              <w:spacing w:line="276" w:lineRule="auto"/>
              <w:jc w:val="both"/>
            </w:pPr>
            <w:r>
              <w:t xml:space="preserve">Predlažemo da se veći naglasak stavi na količinu Zagorskih mlinaca koje subjekt stavlja na tržište što je dokazivo obrascem OB-5 koji je sastavni dio dokumentacije kod prijave na natječaj. </w:t>
            </w:r>
          </w:p>
        </w:tc>
        <w:tc>
          <w:tcPr>
            <w:tcW w:w="4240" w:type="dxa"/>
            <w:shd w:val="clear" w:color="auto" w:fill="auto"/>
          </w:tcPr>
          <w:p w:rsidR="006801F7" w:rsidRPr="00E20ACB" w:rsidRDefault="006801F7" w:rsidP="00604133">
            <w:pPr>
              <w:pStyle w:val="Bezproreda"/>
              <w:spacing w:line="276" w:lineRule="auto"/>
              <w:jc w:val="both"/>
              <w:rPr>
                <w:rFonts w:eastAsia="Calibri"/>
                <w:b/>
                <w:lang w:eastAsia="en-US"/>
              </w:rPr>
            </w:pPr>
            <w:r w:rsidRPr="00E20ACB">
              <w:rPr>
                <w:rFonts w:eastAsia="Calibri"/>
                <w:b/>
                <w:lang w:eastAsia="en-US"/>
              </w:rPr>
              <w:t xml:space="preserve">Prihvaća se. </w:t>
            </w:r>
          </w:p>
          <w:p w:rsidR="006801F7" w:rsidRPr="004561D6" w:rsidRDefault="006801F7" w:rsidP="00604133">
            <w:pPr>
              <w:pStyle w:val="Bezproreda"/>
              <w:spacing w:line="276" w:lineRule="auto"/>
              <w:jc w:val="both"/>
              <w:rPr>
                <w:rFonts w:eastAsia="Calibri"/>
                <w:lang w:eastAsia="en-US"/>
              </w:rPr>
            </w:pPr>
          </w:p>
        </w:tc>
      </w:tr>
      <w:tr w:rsidR="006801F7" w:rsidTr="00604133">
        <w:trPr>
          <w:trHeight w:val="1277"/>
        </w:trPr>
        <w:tc>
          <w:tcPr>
            <w:tcW w:w="690" w:type="dxa"/>
            <w:shd w:val="clear" w:color="auto" w:fill="auto"/>
          </w:tcPr>
          <w:p w:rsidR="006801F7" w:rsidRDefault="006801F7" w:rsidP="00604133">
            <w:pPr>
              <w:spacing w:line="276" w:lineRule="auto"/>
              <w:jc w:val="both"/>
              <w:rPr>
                <w:b/>
              </w:rPr>
            </w:pPr>
          </w:p>
        </w:tc>
        <w:tc>
          <w:tcPr>
            <w:tcW w:w="1898" w:type="dxa"/>
            <w:shd w:val="clear" w:color="auto" w:fill="auto"/>
          </w:tcPr>
          <w:p w:rsidR="006801F7" w:rsidRDefault="006801F7" w:rsidP="00604133">
            <w:pPr>
              <w:spacing w:line="276" w:lineRule="auto"/>
              <w:jc w:val="both"/>
              <w:rPr>
                <w:b/>
              </w:rPr>
            </w:pPr>
          </w:p>
        </w:tc>
        <w:tc>
          <w:tcPr>
            <w:tcW w:w="1694" w:type="dxa"/>
            <w:shd w:val="clear" w:color="auto" w:fill="auto"/>
          </w:tcPr>
          <w:p w:rsidR="006801F7" w:rsidRDefault="006801F7" w:rsidP="00604133">
            <w:pPr>
              <w:spacing w:line="276" w:lineRule="auto"/>
            </w:pPr>
            <w:r>
              <w:t xml:space="preserve">Članak 12. </w:t>
            </w:r>
          </w:p>
          <w:p w:rsidR="006801F7" w:rsidRDefault="006801F7" w:rsidP="00604133">
            <w:pPr>
              <w:spacing w:line="276" w:lineRule="auto"/>
            </w:pPr>
          </w:p>
        </w:tc>
        <w:tc>
          <w:tcPr>
            <w:tcW w:w="5472" w:type="dxa"/>
            <w:shd w:val="clear" w:color="auto" w:fill="auto"/>
          </w:tcPr>
          <w:p w:rsidR="006801F7" w:rsidRDefault="006801F7" w:rsidP="00604133">
            <w:pPr>
              <w:spacing w:line="276" w:lineRule="auto"/>
              <w:jc w:val="both"/>
            </w:pPr>
            <w:r>
              <w:t xml:space="preserve">Predlaže se da se boduje vremenski period koliko je određena tvrtka nositelj certifikata proizvoda Zagorskih mlinaca. </w:t>
            </w:r>
          </w:p>
        </w:tc>
        <w:tc>
          <w:tcPr>
            <w:tcW w:w="4240" w:type="dxa"/>
            <w:shd w:val="clear" w:color="auto" w:fill="auto"/>
          </w:tcPr>
          <w:p w:rsidR="006801F7" w:rsidRDefault="006801F7" w:rsidP="00604133">
            <w:pPr>
              <w:pStyle w:val="Bezproreda"/>
              <w:spacing w:line="276" w:lineRule="auto"/>
              <w:jc w:val="both"/>
              <w:rPr>
                <w:rFonts w:eastAsia="Calibri"/>
                <w:lang w:eastAsia="en-US"/>
              </w:rPr>
            </w:pPr>
            <w:r>
              <w:rPr>
                <w:rFonts w:eastAsia="Calibri"/>
                <w:b/>
                <w:lang w:eastAsia="en-US"/>
              </w:rPr>
              <w:t xml:space="preserve">Ne prihvaća se. </w:t>
            </w:r>
          </w:p>
          <w:p w:rsidR="006801F7" w:rsidRPr="00DD0632" w:rsidRDefault="006801F7" w:rsidP="00604133">
            <w:pPr>
              <w:pStyle w:val="Bezproreda"/>
              <w:spacing w:line="276" w:lineRule="auto"/>
              <w:jc w:val="both"/>
              <w:rPr>
                <w:rFonts w:eastAsia="Calibri"/>
                <w:lang w:eastAsia="en-US"/>
              </w:rPr>
            </w:pPr>
            <w:r>
              <w:rPr>
                <w:rFonts w:eastAsia="Calibri"/>
                <w:lang w:eastAsia="en-US"/>
              </w:rPr>
              <w:t xml:space="preserve">Svi podnosioci prijave koji su certificirani proizvođači Zagorskih mlinaca imaju jednake uvjete temeljem dužine trajanja certifikacije tako da se ovaj kriterij bodovanja neće primijeniti. </w:t>
            </w:r>
          </w:p>
        </w:tc>
      </w:tr>
    </w:tbl>
    <w:p w:rsidR="006801F7" w:rsidRDefault="006801F7" w:rsidP="006801F7">
      <w:pPr>
        <w:spacing w:line="276" w:lineRule="auto"/>
        <w:jc w:val="both"/>
      </w:pPr>
    </w:p>
    <w:p w:rsidR="006801F7" w:rsidRPr="00C93686" w:rsidRDefault="006801F7" w:rsidP="006801F7">
      <w:pPr>
        <w:spacing w:line="276" w:lineRule="auto"/>
        <w:jc w:val="both"/>
      </w:pPr>
    </w:p>
    <w:p w:rsidR="00A825B8" w:rsidRDefault="00A825B8" w:rsidP="00624EB3">
      <w:bookmarkStart w:id="0" w:name="_GoBack"/>
      <w:bookmarkEnd w:id="0"/>
    </w:p>
    <w:sectPr w:rsidR="00A825B8" w:rsidSect="00C93686">
      <w:footerReference w:type="default" r:id="rId6"/>
      <w:pgSz w:w="16840" w:h="11907" w:orient="landscape" w:code="9"/>
      <w:pgMar w:top="1418" w:right="1418" w:bottom="1418" w:left="1418"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13" w:rsidRDefault="006801F7">
    <w:pPr>
      <w:pStyle w:val="Podnoje"/>
      <w:jc w:val="right"/>
    </w:pPr>
    <w:r>
      <w:fldChar w:fldCharType="begin"/>
    </w:r>
    <w:r>
      <w:instrText>PAGE   \* MERGEFORMAT</w:instrText>
    </w:r>
    <w:r>
      <w:fldChar w:fldCharType="separate"/>
    </w:r>
    <w:r>
      <w:rPr>
        <w:noProof/>
      </w:rPr>
      <w:t>6</w:t>
    </w:r>
    <w:r>
      <w:fldChar w:fldCharType="end"/>
    </w:r>
  </w:p>
  <w:p w:rsidR="00867913" w:rsidRDefault="006801F7">
    <w:pPr>
      <w:pStyle w:val="Podnoj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BA9"/>
    <w:multiLevelType w:val="hybridMultilevel"/>
    <w:tmpl w:val="107480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8843E2E"/>
    <w:multiLevelType w:val="hybridMultilevel"/>
    <w:tmpl w:val="E2BE3896"/>
    <w:lvl w:ilvl="0" w:tplc="B9769B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1876739"/>
    <w:multiLevelType w:val="hybridMultilevel"/>
    <w:tmpl w:val="9094E716"/>
    <w:lvl w:ilvl="0" w:tplc="2ED277DC">
      <w:start w:val="1"/>
      <w:numFmt w:val="decimal"/>
      <w:lvlText w:val="%1."/>
      <w:lvlJc w:val="left"/>
      <w:pPr>
        <w:ind w:left="720" w:hanging="360"/>
      </w:pPr>
      <w:rPr>
        <w:rFonts w:eastAsia="Arial" w:hint="default"/>
        <w:color w:val="2324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8BF7FAC"/>
    <w:multiLevelType w:val="hybridMultilevel"/>
    <w:tmpl w:val="256E6D14"/>
    <w:lvl w:ilvl="0" w:tplc="AC28255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0F"/>
    <w:rsid w:val="001171B7"/>
    <w:rsid w:val="0014570F"/>
    <w:rsid w:val="00194E71"/>
    <w:rsid w:val="0019641D"/>
    <w:rsid w:val="001E740C"/>
    <w:rsid w:val="002333D3"/>
    <w:rsid w:val="00265E2C"/>
    <w:rsid w:val="002F3643"/>
    <w:rsid w:val="003D4919"/>
    <w:rsid w:val="003E361A"/>
    <w:rsid w:val="004F057F"/>
    <w:rsid w:val="005850D8"/>
    <w:rsid w:val="005D3E10"/>
    <w:rsid w:val="005E43E9"/>
    <w:rsid w:val="005F1BD9"/>
    <w:rsid w:val="00624EB3"/>
    <w:rsid w:val="006801F7"/>
    <w:rsid w:val="006E657A"/>
    <w:rsid w:val="006F346E"/>
    <w:rsid w:val="007013CF"/>
    <w:rsid w:val="00711A5E"/>
    <w:rsid w:val="007566AE"/>
    <w:rsid w:val="007F114C"/>
    <w:rsid w:val="007F1E67"/>
    <w:rsid w:val="00862E60"/>
    <w:rsid w:val="008A416B"/>
    <w:rsid w:val="008B3E93"/>
    <w:rsid w:val="008D41CE"/>
    <w:rsid w:val="00943E84"/>
    <w:rsid w:val="00A542F4"/>
    <w:rsid w:val="00A6376D"/>
    <w:rsid w:val="00A825B8"/>
    <w:rsid w:val="00B5602A"/>
    <w:rsid w:val="00B86EF0"/>
    <w:rsid w:val="00C12F8A"/>
    <w:rsid w:val="00C41AA5"/>
    <w:rsid w:val="00C927E1"/>
    <w:rsid w:val="00CA4080"/>
    <w:rsid w:val="00CA66FE"/>
    <w:rsid w:val="00D2127A"/>
    <w:rsid w:val="00D515E3"/>
    <w:rsid w:val="00DE3194"/>
    <w:rsid w:val="00E904B9"/>
    <w:rsid w:val="00E979AA"/>
    <w:rsid w:val="00EF4D92"/>
    <w:rsid w:val="00F50D3D"/>
    <w:rsid w:val="00FF32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E0718B-E41E-48A7-8859-E350D34E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23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8B3E93"/>
    <w:rPr>
      <w:color w:val="0000FF"/>
      <w:u w:val="single"/>
    </w:rPr>
  </w:style>
  <w:style w:type="paragraph" w:styleId="Tekstbalonia">
    <w:name w:val="Balloon Text"/>
    <w:basedOn w:val="Normal"/>
    <w:link w:val="TekstbaloniaChar"/>
    <w:uiPriority w:val="99"/>
    <w:semiHidden/>
    <w:unhideWhenUsed/>
    <w:rsid w:val="007013CF"/>
    <w:rPr>
      <w:rFonts w:ascii="Segoe UI" w:hAnsi="Segoe UI" w:cs="Segoe UI"/>
      <w:sz w:val="18"/>
      <w:szCs w:val="18"/>
    </w:rPr>
  </w:style>
  <w:style w:type="character" w:customStyle="1" w:styleId="TekstbaloniaChar">
    <w:name w:val="Tekst balončića Char"/>
    <w:link w:val="Tekstbalonia"/>
    <w:uiPriority w:val="99"/>
    <w:semiHidden/>
    <w:rsid w:val="007013CF"/>
    <w:rPr>
      <w:rFonts w:ascii="Segoe UI" w:hAnsi="Segoe UI" w:cs="Segoe UI"/>
      <w:sz w:val="18"/>
      <w:szCs w:val="18"/>
    </w:rPr>
  </w:style>
  <w:style w:type="paragraph" w:styleId="Odlomakpopisa">
    <w:name w:val="List Paragraph"/>
    <w:basedOn w:val="Normal"/>
    <w:uiPriority w:val="99"/>
    <w:qFormat/>
    <w:rsid w:val="005E43E9"/>
    <w:pPr>
      <w:ind w:left="720"/>
      <w:contextualSpacing/>
    </w:pPr>
  </w:style>
  <w:style w:type="paragraph" w:styleId="Podnoje">
    <w:name w:val="footer"/>
    <w:basedOn w:val="Normal"/>
    <w:link w:val="PodnojeChar"/>
    <w:uiPriority w:val="99"/>
    <w:unhideWhenUsed/>
    <w:rsid w:val="006801F7"/>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6801F7"/>
    <w:rPr>
      <w:sz w:val="24"/>
      <w:szCs w:val="24"/>
      <w:lang w:val="x-none" w:eastAsia="x-none"/>
    </w:rPr>
  </w:style>
  <w:style w:type="paragraph" w:styleId="Bezproreda">
    <w:name w:val="No Spacing"/>
    <w:link w:val="BezproredaChar"/>
    <w:uiPriority w:val="1"/>
    <w:qFormat/>
    <w:rsid w:val="006801F7"/>
    <w:rPr>
      <w:sz w:val="24"/>
      <w:szCs w:val="24"/>
    </w:rPr>
  </w:style>
  <w:style w:type="character" w:customStyle="1" w:styleId="BezproredaChar">
    <w:name w:val="Bez proreda Char"/>
    <w:link w:val="Bezproreda"/>
    <w:uiPriority w:val="1"/>
    <w:locked/>
    <w:rsid w:val="006801F7"/>
    <w:rPr>
      <w:sz w:val="24"/>
      <w:szCs w:val="24"/>
    </w:rPr>
  </w:style>
  <w:style w:type="character" w:styleId="Naglaeno">
    <w:name w:val="Strong"/>
    <w:uiPriority w:val="22"/>
    <w:qFormat/>
    <w:rsid w:val="00680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kzz.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1221</Words>
  <Characters>6960</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IZVJEŠĆE O PROVEDENOM SAVJETOVANJU SA ZAINTERESIRANOM JAVNOŠĆU O NACRTU PRIJEDLOGA ODLUKE O OSNIVANJU ANTIKORUPCIJSKOG POVJERE</vt:lpstr>
      <vt:lpstr>IZVJEŠĆE O PROVEDENOM SAVJETOVANJU SA ZAINTERESIRANOM JAVNOŠĆU O NACRTU PRIJEDLOGA ODLUKE O OSNIVANJU ANTIKORUPCIJSKOG POVJERE</vt:lpstr>
    </vt:vector>
  </TitlesOfParts>
  <Company>Krapinsko-zagorska županija</Company>
  <LinksUpToDate>false</LinksUpToDate>
  <CharactersWithSpaces>8165</CharactersWithSpaces>
  <SharedDoc>false</SharedDoc>
  <HLinks>
    <vt:vector size="6" baseType="variant">
      <vt:variant>
        <vt:i4>8192118</vt:i4>
      </vt:variant>
      <vt:variant>
        <vt:i4>0</vt:i4>
      </vt:variant>
      <vt:variant>
        <vt:i4>0</vt:i4>
      </vt:variant>
      <vt:variant>
        <vt:i4>5</vt:i4>
      </vt:variant>
      <vt:variant>
        <vt:lpwstr>http://www.kzz.hr/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PROVEDENOM SAVJETOVANJU SA ZAINTERESIRANOM JAVNOŠĆU O NACRTU PRIJEDLOGA ODLUKE O OSNIVANJU ANTIKORUPCIJSKOG POVJERE</dc:title>
  <dc:subject/>
  <dc:creator>ksenijac</dc:creator>
  <cp:keywords/>
  <dc:description/>
  <cp:lastModifiedBy>Zoran Gumbas</cp:lastModifiedBy>
  <cp:revision>7</cp:revision>
  <cp:lastPrinted>2020-08-04T11:42:00Z</cp:lastPrinted>
  <dcterms:created xsi:type="dcterms:W3CDTF">2020-08-04T12:47:00Z</dcterms:created>
  <dcterms:modified xsi:type="dcterms:W3CDTF">2021-05-13T07:34:00Z</dcterms:modified>
</cp:coreProperties>
</file>