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5F954F" Type="http://schemas.openxmlformats.org/officeDocument/2006/relationships/officeDocument" Target="/word/document.xml" /><Relationship Id="coreR665F954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UP/I-943-04/20-01/366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2140/01-14-02-06-21-9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21. siječnja 2021.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nepotpunog izvlaštenja nekretnine označene kao </w:t>
      </w:r>
      <w:r>
        <w:rPr>
          <w:rStyle w:val="C3"/>
          <w:b w:val="1"/>
          <w:sz w:val="24"/>
        </w:rPr>
        <w:t>k.č.br. 905/5</w:t>
      </w:r>
      <w:r>
        <w:rPr>
          <w:rStyle w:val="C3"/>
          <w:b w:val="1"/>
          <w:sz w:val="24"/>
        </w:rPr>
        <w:t xml:space="preserve"> k.o Konjščina</w:t>
      </w:r>
      <w:r>
        <w:rPr>
          <w:rStyle w:val="C3"/>
          <w:sz w:val="24"/>
        </w:rPr>
        <w:t xml:space="preserve">, radi gradnje spojnog kanala fekalne kanalizacije od novog kanala D-24 do novog kolektora K1 uz prugu,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Nepoznatim osobama: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Valeku Bedekoviću, Galovec, </w:t>
      </w:r>
      <w:r>
        <w:rPr>
          <w:rStyle w:val="C3"/>
          <w:b w:val="1"/>
          <w:sz w:val="24"/>
        </w:rPr>
        <w:t>Terezi Bedeković, Galovec, Rudolfu Bedekoviću, Zagreb, Zvjezdani Bedeković, Zagreb, Dragici Bedeković, Galovec sada: Kustošija,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Terezi Bedeković, Zagreb, Vlaška 82/II, </w:t>
      </w:r>
      <w:r>
        <w:rPr>
          <w:rStyle w:val="C3"/>
          <w:b w:val="1"/>
          <w:sz w:val="24"/>
        </w:rPr>
        <w:t xml:space="preserve"> Ankici Bedeković – Sorić, Zagreb, Vrbani, Siječanjska 13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 </w:t>
      </w:r>
      <w:r>
        <w:rPr>
          <w:rStyle w:val="C3"/>
          <w:b w:val="1"/>
          <w:sz w:val="24"/>
        </w:rPr>
        <w:t>Franji Bedekoviću, Zagreb, Kuzmaničeva 3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te nepoznatim nasljednicima iza pokojnog Valenta Bedekovića, Galovec 6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</w:t>
      </w:r>
      <w:r>
        <w:rPr>
          <w:rStyle w:val="C3"/>
          <w:b w:val="1"/>
          <w:sz w:val="24"/>
        </w:rPr>
        <w:t xml:space="preserve"> Petrovića iz Zlatara, Kaštelska 4</w:t>
      </w:r>
      <w:r>
        <w:rPr>
          <w:rStyle w:val="C3"/>
          <w:sz w:val="24"/>
        </w:rPr>
        <w:t>, radi zaštite njihovih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II. Privremeni zastupnik zastupat će osobe iz točke I. izreke u postupku nepotpunog izvlaštenja nekretnine označene kao </w:t>
      </w:r>
      <w:r>
        <w:rPr>
          <w:rStyle w:val="C3"/>
          <w:b w:val="1"/>
          <w:sz w:val="24"/>
        </w:rPr>
        <w:t>k.č.br. 905/5</w:t>
      </w:r>
      <w:r>
        <w:rPr>
          <w:rStyle w:val="C3"/>
          <w:b w:val="1"/>
          <w:sz w:val="24"/>
        </w:rPr>
        <w:t xml:space="preserve"> k.o Konjščina</w:t>
      </w:r>
      <w:r>
        <w:rPr>
          <w:rStyle w:val="C3"/>
          <w:sz w:val="24"/>
        </w:rPr>
        <w:t>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Kod ovog Upravnog odjela vodi se postupak nepotpunog izvlaštenja nekretnine označene kao k.č.br. 905/5 k.o. Konjščina, oranica Doma u Krapini, površine 1711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, upisana u zk. ul. broj 432 k.o. Konjščina na ime suvlasnika Bedeković Valent, Galovec 6, u 72/360 dijela, Bedeković Valek, Galovec, u 18/360 dijela, Bedeković Tereza, Galovec, u 10/360 dijela, Bedeković Rudolf, Zagreb, u 10/360 dijela, Bedeković Zvjezdana, Zagreb, u 90/360 dijela, Bedeković Dragica, Galovec Sada: Kustošija, u 10/360 dijela, Bedeković Tereza, Zagreb, Vlaška 82/II, u 60/360 dijela, Bedeković Gordana, Konjščina, Galovec 38, u 45/360 dijela, Petrović Dragica, Kraljevica, Carovo C., u 45/360 dijela, u katastarskom operatu upisana u posjedovni list broj 24 k.o. Konjščina na ime posjednika Bedeković Verona, ud. Vida, Galovec, Galovec 8 (dio površine 428 m2), u posjedovni list broj 513 k.o. Konjščina na ime posjednika Bedeković Franjo, Mirko, Zagreb, Kuzmaničeva 3 (dio površine 429 m2), u posjedovni list broj 2013 k.o. Konjščina na ime posjednika Pavlić Barica, Galovec, Galovec 43 (dio površine 429 m2), u posjedovni list broj 2923 k.o. Konjščina na ime posjednika Bedeković Mirica, Konjščina, Ivice Gluhaka 17, u 1/3 dijela, Bedeković Ivan, Zagreb, Rujanska 7, u 1/3 dijela i Bedeković – Sorić Ankica, Zagreb, Siječanjska 13 u 1/3 dijela (dio površine 425 m2) - u površini služnosti od 18,5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b w:val="1"/>
          <w:sz w:val="24"/>
        </w:rPr>
        <w:t xml:space="preserve"> – </w:t>
      </w:r>
      <w:r>
        <w:rPr>
          <w:rStyle w:val="C3"/>
          <w:sz w:val="24"/>
        </w:rPr>
        <w:t>trasa kanalizacije prolazi duž jugoistočnog dijela predmetne parcele u smjeru sjeveroistok – jugozapad u dužini 9.25 m i širini trase 2 m na udaljenosti cca 2.5 – 2.8 m od jugoistočne međe, po prijedlogu Zagorskog vodovoda d.o.o. za javnu vodoopskrbu i odvodnju, Zabok, K.Š. Gjalskog 1.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U toku postupka, dostava pismena je za Valeka Bedekovića, Galovec, Terezu Bedeković, Galovec, Rudolfa Bedekovića, Zagreb, Zvjezdanu Bedeković, Zagreb, Dragicu Bedeković, Galovec sada: Kustošija izvršena putem Oglasne ploče zbog nedovoljne adrese, za Terezu Bedeković, Zagreb, Vlaška 82/II, Ankicu Bedeković – Sorić, Zagreb, Vrbani, Siječanjska 13 i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Franju Bedekovića, Zagreb, Kuzmaničeva 3 dostava poziva vratila se s naznakom „primatelj nepoznat“, a za Valenta Bedekovića, Galovec 6 dostava poziva se vratila s naznakom „primatelj umro“. Budući da ovaj Upravni odjel uvidom u službene evidencije koje se vode kod ovog Upravnog odjela (državne matice) nije uspio utvrditi identitet osoba navedenih u točki I. izreke ovog zaključka, valjalo im je imenovati privremenog zastupnika radi zaštite njihovih prava i interesa u predmetnom postupku izvlaštenja.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>Odredbom članka 12. Zakona o izvlaštenju i određivanju naknade propisano je da su poslovi izvlaštenja od interesa za Republiku Hrvatsku, a postupci izvlaštenja su hitni postupci.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postupak izvlaštenja po svom karakteru hitan, odlučeno je kao u izreci zaključka.</w:t>
      </w:r>
    </w:p>
    <w:p>
      <w:pPr>
        <w:pStyle w:val="P1"/>
        <w:ind w:firstLine="360"/>
      </w:pP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366A200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026C04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316677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23A9D8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8E4E8C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BCE44D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82AD2B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ECB369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1C8B7F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5B162106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F3DB2F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B9261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9A78F1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FBC0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B6C3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0FB01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39ACFF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E3AE8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58933737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7D494787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676D0AAD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66BEAF08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51EB3448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11AAE15E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31ACFE7D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669F0D14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6DC4FDD7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2021-01-25T09:14:00Z</dcterms:created>
  <cp:lastModifiedBy>Zvonko Tušek</cp:lastModifiedBy>
  <cp:lastPrinted>2020-10-21T06:29:00Z</cp:lastPrinted>
  <dcterms:modified xsi:type="dcterms:W3CDTF">2021-02-23T14:12:06Z</dcterms:modified>
  <cp:revision>41</cp:revision>
  <dc:title>                        </dc:title>
</cp:coreProperties>
</file>