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5B696C" Type="http://schemas.openxmlformats.org/officeDocument/2006/relationships/officeDocument" Target="/word/document.xml" /><Relationship Id="coreR5F5B69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</w:rPr>
      </w:pP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             </w:t>
      </w:r>
      <w:r>
        <w:rPr>
          <w:rStyle w:val="C3"/>
          <w:b w:val="1"/>
        </w:rPr>
        <w:tab/>
        <w:t xml:space="preserve">        </w:t>
      </w:r>
      <w:r>
        <w:rPr>
          <w:rStyle w:val="C3"/>
          <w:b w:val="1"/>
        </w:rPr>
        <w:t xml:space="preserve">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</w:rPr>
      </w:pPr>
      <w:r>
        <w:t xml:space="preserve">         </w:t>
      </w:r>
      <w:r>
        <w:rPr>
          <w:rStyle w:val="C3"/>
          <w:b w:val="1"/>
        </w:rPr>
        <w:t>REPUBLIKA HRVATSKA</w:t>
        <w:br w:type="textWrapping"/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sz w:val="20"/>
        </w:rPr>
        <w:t xml:space="preserve">     </w:t>
      </w:r>
      <w:r>
        <w:rPr>
          <w:rStyle w:val="C3"/>
          <w:b w:val="1"/>
          <w:sz w:val="20"/>
        </w:rPr>
        <w:t xml:space="preserve">     </w:t>
      </w:r>
      <w:r>
        <w:rPr>
          <w:rStyle w:val="C3"/>
          <w:b w:val="1"/>
        </w:rPr>
        <w:t>ŽUPANIJSKA</w:t>
      </w:r>
      <w:r>
        <w:rPr>
          <w:rStyle w:val="C3"/>
          <w:sz w:val="20"/>
        </w:rPr>
        <w:t xml:space="preserve">  </w:t>
      </w:r>
      <w:r>
        <w:rPr>
          <w:rStyle w:val="C3"/>
          <w:b w:val="1"/>
        </w:rPr>
        <w:t>SKUPŠTINA</w:t>
      </w:r>
    </w:p>
    <w:p>
      <w:r>
        <w:t>KLASA: 400-01/23-01/18</w:t>
      </w:r>
    </w:p>
    <w:p>
      <w:r>
        <w:t>URBROJ: 2140-02-23-3</w:t>
      </w:r>
    </w:p>
    <w:p>
      <w:r>
        <w:t>Krapina, 28. lipnja 2023.</w:t>
      </w:r>
    </w:p>
    <w:p/>
    <w:p/>
    <w:p>
      <w:pPr>
        <w:jc w:val="both"/>
      </w:pPr>
      <w:r>
        <w:t xml:space="preserve">Na temelju članaka 89. Zakona o proračunu („Narodne novine“ broj 144/21.), članka 82. Pravilnika o proračunskim računovodstvu i računskom planu („Narodne novine“, broj 124/14, 115/15, 87/16, 3/18 i 126/19, 108/20 i 144/21) i članka 17. Statuta  Krapinsko-zagorske  županije </w:t>
      </w:r>
      <w:bookmarkStart w:id="0" w:name="_Hlk104963134"/>
      <w:r>
        <w:t>(„Službeni glasnik Krapinsko-zagorske županije“ broj 13/01., 5/06., 14/09., 11/13., 13/18., 5/20., 10/21. i 15/21.- pročišćeni tekst),</w:t>
      </w:r>
      <w:bookmarkEnd w:id="0"/>
      <w:r>
        <w:t xml:space="preserve">  Županijska skupština Krapinsko-zagorske županije na 13. sjednici održanoj 28. lipnja  2023. godine donijela je 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ODLUKU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RASPODJELI REZULT</w:t>
      </w:r>
      <w:r>
        <w:rPr>
          <w:rStyle w:val="C3"/>
          <w:b w:val="1"/>
        </w:rPr>
        <w:t xml:space="preserve">ATA </w:t>
      </w:r>
      <w:r>
        <w:rPr>
          <w:rStyle w:val="C3"/>
          <w:b w:val="1"/>
        </w:rPr>
        <w:t>POSLOVA</w:t>
      </w:r>
      <w:r>
        <w:rPr>
          <w:rStyle w:val="C3"/>
          <w:b w:val="1"/>
        </w:rPr>
        <w:t xml:space="preserve">NJA </w:t>
      </w:r>
      <w:r>
        <w:rPr>
          <w:rStyle w:val="C3"/>
          <w:b w:val="1"/>
        </w:rPr>
        <w:t>ZA 20</w:t>
      </w:r>
      <w:r>
        <w:rPr>
          <w:rStyle w:val="C3"/>
          <w:b w:val="1"/>
        </w:rPr>
        <w:t>2</w:t>
      </w:r>
      <w:r>
        <w:rPr>
          <w:rStyle w:val="C3"/>
          <w:b w:val="1"/>
        </w:rPr>
        <w:t>2</w:t>
      </w:r>
      <w:r>
        <w:rPr>
          <w:rStyle w:val="C3"/>
          <w:b w:val="1"/>
        </w:rPr>
        <w:t>. GODINU</w:t>
      </w:r>
    </w:p>
    <w:p>
      <w:pPr>
        <w:jc w:val="center"/>
        <w:rPr>
          <w:rStyle w:val="C3"/>
        </w:rPr>
      </w:pPr>
    </w:p>
    <w:p>
      <w:pPr>
        <w:jc w:val="center"/>
      </w:pPr>
      <w:r>
        <w:t>Članak 1.</w:t>
      </w:r>
    </w:p>
    <w:p>
      <w:pPr>
        <w:jc w:val="both"/>
      </w:pPr>
      <w:r>
        <w:t xml:space="preserve">Ovom Odlukom se utvrđuje rezultat poslovanja temeljem financijskih izvještaja Krapinsko-zagorske županije za 2022. godinu. </w:t>
      </w:r>
    </w:p>
    <w:p/>
    <w:p>
      <w:pPr>
        <w:jc w:val="center"/>
      </w:pPr>
      <w:r>
        <w:t>Članak 2.</w:t>
      </w:r>
    </w:p>
    <w:p>
      <w:pPr>
        <w:jc w:val="both"/>
      </w:pPr>
      <w:r>
        <w:t xml:space="preserve">Stanje na osnovnim računima podskupine 922 koje je iskazano u financijskim izvještajima za proračunsku godinu na dan 31. prosinca 2022. godine utvrđeno je  kako slijedi:</w:t>
      </w:r>
    </w:p>
    <w:p>
      <w:pPr>
        <w:jc w:val="both"/>
      </w:pPr>
    </w:p>
    <w:tbl>
      <w:tblPr>
        <w:tblStyle w:val="T2"/>
        <w:tblW w:w="9498" w:type="dxa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3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Broj raču</w:t>
            </w:r>
            <w:r>
              <w:rPr>
                <w:rStyle w:val="C3"/>
                <w:b w:val="1"/>
              </w:rPr>
              <w:t>na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Naziv računa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Stanje 31.12.202</w:t>
            </w:r>
            <w:r>
              <w:rPr>
                <w:rStyle w:val="C3"/>
                <w:b w:val="1"/>
              </w:rPr>
              <w:t>2</w:t>
            </w:r>
            <w:r>
              <w:rPr>
                <w:rStyle w:val="C3"/>
                <w:b w:val="1"/>
              </w:rPr>
              <w:t>.</w:t>
            </w:r>
          </w:p>
        </w:tc>
      </w:tr>
      <w:tr>
        <w:trPr>
          <w:wAfter w:w="0" w:type="dxa"/>
        </w:trPr>
        <w:tc>
          <w:tcPr>
            <w:tcW w:w="993" w:type="dxa"/>
          </w:tcPr>
          <w:p>
            <w:pPr>
              <w:jc w:val="both"/>
            </w:pPr>
            <w:r>
              <w:t>92211</w:t>
            </w:r>
          </w:p>
        </w:tc>
        <w:tc>
          <w:tcPr>
            <w:tcW w:w="4110" w:type="dxa"/>
          </w:tcPr>
          <w:p>
            <w:pPr>
              <w:jc w:val="both"/>
            </w:pPr>
            <w:r>
              <w:t>Višak prihoda poslovanja</w:t>
            </w:r>
          </w:p>
        </w:tc>
        <w:tc>
          <w:tcPr>
            <w:tcW w:w="4395" w:type="dxa"/>
          </w:tcPr>
          <w:p>
            <w:r>
              <w:t>140.628.265,77 kn/18.664.578,38 EUR</w:t>
            </w:r>
          </w:p>
        </w:tc>
      </w:tr>
      <w:tr>
        <w:trPr>
          <w:wAfter w:w="0" w:type="dxa"/>
        </w:trPr>
        <w:tc>
          <w:tcPr>
            <w:tcW w:w="993" w:type="dxa"/>
          </w:tcPr>
          <w:p>
            <w:pPr>
              <w:jc w:val="both"/>
            </w:pPr>
            <w:r>
              <w:t>92222</w:t>
            </w:r>
          </w:p>
        </w:tc>
        <w:tc>
          <w:tcPr>
            <w:tcW w:w="4110" w:type="dxa"/>
          </w:tcPr>
          <w:p>
            <w:pPr>
              <w:jc w:val="both"/>
            </w:pPr>
            <w:r>
              <w:t>Manjak prihoda od nefinancijske imovine</w:t>
            </w:r>
          </w:p>
        </w:tc>
        <w:tc>
          <w:tcPr>
            <w:tcW w:w="4395" w:type="dxa"/>
            <w:vAlign w:val="center"/>
          </w:tcPr>
          <w:p>
            <w:r>
              <w:t>89.931.037,11 kn/11.935.899,81 EUR</w:t>
            </w:r>
          </w:p>
        </w:tc>
      </w:tr>
      <w:tr>
        <w:trPr>
          <w:wAfter w:w="0" w:type="dxa"/>
        </w:trPr>
        <w:tc>
          <w:tcPr>
            <w:tcW w:w="993" w:type="dxa"/>
          </w:tcPr>
          <w:p>
            <w:pPr>
              <w:jc w:val="both"/>
            </w:pPr>
            <w:r>
              <w:t>92213</w:t>
            </w:r>
          </w:p>
        </w:tc>
        <w:tc>
          <w:tcPr>
            <w:tcW w:w="4110" w:type="dxa"/>
          </w:tcPr>
          <w:p>
            <w:pPr>
              <w:jc w:val="both"/>
            </w:pPr>
            <w:r>
              <w:t>Višak primitaka od financijske imovine</w:t>
            </w:r>
          </w:p>
        </w:tc>
        <w:tc>
          <w:tcPr>
            <w:tcW w:w="4395" w:type="dxa"/>
          </w:tcPr>
          <w:p>
            <w:r>
              <w:t>15.326.438,53 kn/2.034.167,96 EUR</w:t>
            </w:r>
          </w:p>
        </w:tc>
      </w:tr>
      <w:tr>
        <w:trPr>
          <w:wAfter w:w="0" w:type="dxa"/>
        </w:trPr>
        <w:tc>
          <w:tcPr>
            <w:tcW w:w="993" w:type="dxa"/>
          </w:tcPr>
          <w:p>
            <w:pPr>
              <w:jc w:val="both"/>
            </w:pPr>
          </w:p>
        </w:tc>
        <w:tc>
          <w:tcPr>
            <w:tcW w:w="4110" w:type="dxa"/>
          </w:tcPr>
          <w:p>
            <w:pPr>
              <w:jc w:val="both"/>
            </w:pPr>
            <w:r>
              <w:t>Višak prihoda i primitaka za prijenos u slijedeće razdoblje</w:t>
            </w:r>
          </w:p>
        </w:tc>
        <w:tc>
          <w:tcPr>
            <w:tcW w:w="4395" w:type="dxa"/>
            <w:vAlign w:val="center"/>
          </w:tcPr>
          <w:p>
            <w:r>
              <w:t>66.023.667,19 kn/8.762.846,53 EUR</w:t>
            </w:r>
          </w:p>
        </w:tc>
      </w:tr>
    </w:tbl>
    <w:p/>
    <w:p>
      <w:pPr>
        <w:jc w:val="center"/>
      </w:pPr>
      <w:r>
        <w:t>Članak 3.</w:t>
      </w:r>
    </w:p>
    <w:p>
      <w:pPr>
        <w:jc w:val="both"/>
      </w:pPr>
      <w:r>
        <w:t>Sredstva viška prihoda i primitaka iz članka 2. ove Odluke uključuju i višak prihoda i primitaka u odnosu na rashode i izdatke iz 2021. godine.</w:t>
      </w:r>
    </w:p>
    <w:p>
      <w:pPr>
        <w:jc w:val="both"/>
      </w:pPr>
    </w:p>
    <w:p>
      <w:pPr>
        <w:jc w:val="center"/>
      </w:pPr>
      <w:r>
        <w:t>Članak 4.</w:t>
      </w:r>
    </w:p>
    <w:p>
      <w:pPr>
        <w:jc w:val="both"/>
      </w:pPr>
      <w:r>
        <w:t xml:space="preserve">Raspoloživi ostvareni višak prihoda poslovanja i primitaka od financijske imovine ostaje kao višak prihoda i primitaka u iznosu od 66.023.667,19 kuna/8.762.846,53 eura za prijenos u sljedeće razdoblje i raspoređuje se: </w:t>
      </w:r>
    </w:p>
    <w:p>
      <w:pPr>
        <w:jc w:val="both"/>
      </w:pPr>
    </w:p>
    <w:tbl>
      <w:tblPr>
        <w:tblStyle w:val="T2"/>
        <w:tblW w:w="960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88"/>
        </w:trPr>
        <w:tc>
          <w:tcPr>
            <w:tcW w:w="5092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Opis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K</w:t>
            </w:r>
            <w:r>
              <w:rPr>
                <w:rStyle w:val="C3"/>
                <w:b w:val="1"/>
              </w:rPr>
              <w:t>N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EUR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IZVOR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Privredna banka Zagreb - stipendije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27.200,00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3.610,06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2.1.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Sredstva JLS za odlagališta otpada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234.549,24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31.130,03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5.4.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Decentralizirana sredstva - prenamjena potres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24.832.627,61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3.295.856,08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1.4.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Beskamatni zajam - potres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9.730.546,06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1.291.465,40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1.5.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EU predujam „Za mlade u Zagorju“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3.500,78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464,63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5.7.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EU predujam „Regionalna strategija za mlade“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35.696,38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4.737,72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5.7.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Agencija za plaćanja u poljoprivredi, ribarstvu i ruralnom razvoju - PDV Školska shema 4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73.691,17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9.780,50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5.2.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Zalogajček 7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76.093,26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10.099,31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5.7.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Predujam za projekt NOVI POČETAK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2.352.909,96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312.284,82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5.7.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Ministarstvo hrvatskih branitelja - rampa u OŠ Veliko Trgovišće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100.000,00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13.272,28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5.2.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Ministarstvo znanosti i obrazovanja – subvencija prijevoza učenika srednjih škola (HŽ)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15.268,54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2.026,48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5.2.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Ministarstvo financija - pomoć za ublažavanje šteta od tuče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8.046.000,00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1.067.887,72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5.2.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 xml:space="preserve">Ministarstvo regionalnog razvoja i fondova </w:t>
              <w:br w:type="textWrapping"/>
              <w:t>Europske unije - projekt Hypokrat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75.320,00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9.996,68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5.7.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Lovozakupnina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61.266,11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8.131,41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4.3.</w:t>
            </w:r>
          </w:p>
        </w:tc>
      </w:tr>
      <w:tr>
        <w:trPr>
          <w:trHeight w:hRule="atLeast" w:val="378"/>
        </w:trPr>
        <w:tc>
          <w:tcPr>
            <w:tcW w:w="5092" w:type="dxa"/>
            <w:vAlign w:val="center"/>
          </w:tcPr>
          <w:p>
            <w:r>
              <w:t>Naknade od sklapanja braka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56.561,40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t>7.506,99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t>4.3.</w:t>
            </w:r>
          </w:p>
        </w:tc>
      </w:tr>
      <w:tr>
        <w:trPr>
          <w:trHeight w:hRule="atLeast" w:val="351"/>
        </w:trPr>
        <w:tc>
          <w:tcPr>
            <w:tcW w:w="5092" w:type="dxa"/>
            <w:vAlign w:val="center"/>
          </w:tcPr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NAMJEN</w:t>
            </w:r>
            <w:r>
              <w:rPr>
                <w:rStyle w:val="C3"/>
                <w:b w:val="1"/>
              </w:rPr>
              <w:t>SKA S</w:t>
            </w:r>
            <w:r>
              <w:rPr>
                <w:rStyle w:val="C3"/>
                <w:b w:val="1"/>
              </w:rPr>
              <w:t>REDSTVA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45.721.230</w:t>
            </w:r>
            <w:r>
              <w:rPr>
                <w:rStyle w:val="C3"/>
                <w:b w:val="1"/>
              </w:rPr>
              <w:t>,</w:t>
            </w:r>
            <w:r>
              <w:rPr>
                <w:rStyle w:val="C3"/>
                <w:b w:val="1"/>
              </w:rPr>
              <w:t>51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6.0</w:t>
            </w:r>
            <w:r>
              <w:rPr>
                <w:rStyle w:val="C3"/>
                <w:b w:val="1"/>
              </w:rPr>
              <w:t>68.250,12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Style w:val="C3"/>
              </w:rPr>
            </w:pPr>
          </w:p>
        </w:tc>
      </w:tr>
      <w:tr>
        <w:trPr>
          <w:trHeight w:hRule="atLeast" w:val="259"/>
        </w:trPr>
        <w:tc>
          <w:tcPr>
            <w:tcW w:w="5092" w:type="dxa"/>
            <w:vAlign w:val="center"/>
          </w:tcPr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VLASTITA SREDSTVA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20.302.436,68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2.694.596,41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Style w:val="C3"/>
              </w:rPr>
            </w:pPr>
          </w:p>
        </w:tc>
      </w:tr>
    </w:tbl>
    <w:p>
      <w:pPr>
        <w:jc w:val="both"/>
        <w:rPr>
          <w:rStyle w:val="C3"/>
        </w:rPr>
      </w:pPr>
    </w:p>
    <w:p>
      <w:pPr>
        <w:pStyle w:val="P3"/>
        <w:suppressAutoHyphens w:val="0"/>
        <w:ind w:left="1080"/>
        <w:jc w:val="both"/>
        <w:rPr>
          <w:rStyle w:val="C3"/>
          <w:sz w:val="24"/>
        </w:rPr>
      </w:pPr>
    </w:p>
    <w:p>
      <w:pPr>
        <w:pStyle w:val="P3"/>
        <w:suppressAutoHyphens w:val="0"/>
        <w:ind w:left="0"/>
        <w:jc w:val="both"/>
        <w:rPr>
          <w:rStyle w:val="C3"/>
        </w:rPr>
      </w:pPr>
      <w:r>
        <w:rPr>
          <w:rStyle w:val="C3"/>
          <w:sz w:val="24"/>
        </w:rPr>
        <w:t>Višak sredstava koji će se iskoristiti za materijalne rashode poslovanja i/ili nabavu nefinancijske imovine Krapinsko-zagorske županije u narednom razdoblju iznosi 20.302.436,68 kn / 2.694.596,41 EUR.</w:t>
      </w:r>
    </w:p>
    <w:p>
      <w:pPr>
        <w:ind w:left="360"/>
        <w:jc w:val="both"/>
      </w:pPr>
      <w:r>
        <w:t xml:space="preserve">     </w:t>
      </w:r>
    </w:p>
    <w:p>
      <w:pPr>
        <w:jc w:val="center"/>
      </w:pPr>
      <w:r>
        <w:t>Članak 5.</w:t>
      </w:r>
    </w:p>
    <w:p>
      <w:pPr>
        <w:jc w:val="both"/>
      </w:pPr>
      <w:r>
        <w:t>Viškovi prihoda i primitaka nad rashodima i izdacima iz članka 2. ove Odluke rasporediti će se u plan izmjena i dopuna proračuna Krapinsko-zagorske županije za 2023. godinu.</w:t>
      </w:r>
    </w:p>
    <w:p/>
    <w:p>
      <w:pPr>
        <w:jc w:val="center"/>
      </w:pPr>
      <w:r>
        <w:t>Članak 6.</w:t>
      </w:r>
    </w:p>
    <w:p>
      <w:pPr>
        <w:jc w:val="both"/>
      </w:pPr>
      <w:r>
        <w:t>Ova Odluka stupa na snagu osmi dan od dana objave u „Službenom glasniku Krapinsko-zagorske županije“.</w:t>
      </w:r>
    </w:p>
    <w:p>
      <w:pPr>
        <w:jc w:val="both"/>
      </w:pPr>
    </w:p>
    <w:p/>
    <w:p>
      <w:pPr>
        <w:jc w:val="center"/>
        <w:rPr>
          <w:rStyle w:val="C3"/>
          <w:b w:val="1"/>
        </w:rPr>
      </w:pPr>
      <w:r>
        <w:t xml:space="preserve">                                                                                                       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  <w:r>
        <w:rPr>
          <w:rStyle w:val="C3"/>
          <w:b w:val="1"/>
        </w:rPr>
        <w:t xml:space="preserve"> </w:t>
      </w:r>
    </w:p>
    <w:p>
      <w:pPr>
        <w:jc w:val="right"/>
        <w:rPr>
          <w:rStyle w:val="C3"/>
          <w:b w:val="1"/>
        </w:rPr>
      </w:pPr>
      <w:r>
        <w:rPr>
          <w:rStyle w:val="C3"/>
          <w:b w:val="1"/>
        </w:rPr>
        <w:t>ŽUPANIJSKE SKUPŠ</w:t>
      </w:r>
      <w:r>
        <w:rPr>
          <w:rStyle w:val="C3"/>
          <w:b w:val="1"/>
        </w:rPr>
        <w:t>TINE</w:t>
      </w:r>
    </w:p>
    <w:p>
      <w:pPr>
        <w:jc w:val="both"/>
      </w:pPr>
      <w:r>
        <w:t xml:space="preserve">                                                                                                                    Zlatko Šorša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8"/>
        </w:numPr>
        <w:spacing w:before="120"/>
        <w:ind w:hanging="426" w:left="426"/>
        <w:jc w:val="both"/>
      </w:pPr>
      <w:r>
        <w:t>Upravni odjel za financije i proračun,</w:t>
      </w:r>
    </w:p>
    <w:p>
      <w:pPr>
        <w:numPr>
          <w:ilvl w:val="0"/>
          <w:numId w:val="8"/>
        </w:numPr>
        <w:ind w:hanging="426" w:left="426"/>
        <w:jc w:val="both"/>
      </w:pPr>
      <w:r>
        <w:t>„Službeni glasnik Krapinsko-zagorske županije“, za objavu,</w:t>
      </w:r>
    </w:p>
    <w:p>
      <w:pPr>
        <w:numPr>
          <w:ilvl w:val="0"/>
          <w:numId w:val="8"/>
        </w:numPr>
        <w:ind w:hanging="426" w:left="426"/>
        <w:jc w:val="both"/>
      </w:pPr>
      <w:r>
        <w:t>Za zbirku isprava,</w:t>
      </w:r>
    </w:p>
    <w:p>
      <w:pPr>
        <w:numPr>
          <w:ilvl w:val="0"/>
          <w:numId w:val="8"/>
        </w:numPr>
        <w:ind w:hanging="426" w:left="426"/>
        <w:jc w:val="both"/>
      </w:pPr>
      <w:r>
        <w:t>Za prilog zapisniku,</w:t>
      </w:r>
    </w:p>
    <w:p>
      <w:pPr>
        <w:numPr>
          <w:ilvl w:val="0"/>
          <w:numId w:val="8"/>
        </w:numPr>
        <w:ind w:hanging="426" w:left="426"/>
        <w:jc w:val="both"/>
      </w:pPr>
      <w:r>
        <w:t>Pismohrana.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851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2676B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BBE352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EB15C99"/>
    <w:multiLevelType w:val="hybridMultilevel"/>
    <w:lvl w:ilvl="0" w:tplc="250C0314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6C3B7B59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D2497FD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6BC26F40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475DA73A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502C2B4C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25264742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133E3A74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4D9DBDF2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nsid w:val="15480F9A"/>
    <w:multiLevelType w:val="hybridMultilevel"/>
    <w:lvl w:ilvl="0" w:tplc="5AC76EDA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6080B23D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18119D86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5BE20CC6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234C3A9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501C6FE3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AB3F64B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19C56CC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5780F7BE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nsid w:val="1722236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7583A74"/>
    <w:multiLevelType w:val="hybridMultilevel"/>
    <w:lvl w:ilvl="0" w:tplc="1AEE950B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732AAE62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5EA1167D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FEF8DF8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7374D837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F758013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16EA99E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1782A69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15A3C21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6">
    <w:nsid w:val="296720DC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147348C1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6B2190D4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7ACF3840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3BBBAC8E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6E98825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637B8BE9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6F123C89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6FE235E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nsid w:val="35A714F5"/>
    <w:multiLevelType w:val="hybridMultilevel"/>
    <w:lvl w:ilvl="0" w:tplc="407C5F04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30210DD5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78BB9B13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388B133C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679AC7A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3CA8E1D0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29412439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4590FEB1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7681C0A4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nsid w:val="3AAE74D3"/>
    <w:multiLevelType w:val="hybridMultilevel"/>
    <w:lvl w:ilvl="0" w:tplc="00018235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5AD67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B01AC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914F1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4F4CB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5C292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551882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CA9DD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F86AE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D283E9D"/>
    <w:multiLevelType w:val="hybridMultilevel"/>
    <w:lvl w:ilvl="0" w:tplc="2596028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B08009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51C761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C6A32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DAF17E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A53C6A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5E57DD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A886A3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0B2FF8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67590424"/>
    <w:multiLevelType w:val="hybridMultilevel"/>
    <w:lvl w:ilvl="0" w:tplc="281CA99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2CE85B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F0BC34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1E82FE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496119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CCFD03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B36A04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FA011D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A92E97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6B70701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29043FB"/>
    <w:multiLevelType w:val="hybridMultilevel"/>
    <w:lvl w:ilvl="0" w:tplc="2109D1AE">
      <w:start w:val="1"/>
      <w:numFmt w:val="bullet"/>
      <w:suff w:val="tab"/>
      <w:lvlText w:val=""/>
      <w:lvlJc w:val="left"/>
      <w:pPr>
        <w:ind w:hanging="360" w:left="1080"/>
      </w:pPr>
      <w:rPr>
        <w:rFonts w:ascii="Wingdings" w:hAnsi="Wingdings"/>
      </w:rPr>
    </w:lvl>
    <w:lvl w:ilvl="1" w:tplc="1EF5E582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3353CD68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681CD9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355FF344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A5E8F4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7CF3179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4F73FEDD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BC14229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komentara"/>
    <w:basedOn w:val="P0"/>
    <w:next w:val="P1"/>
    <w:link w:val="C10"/>
    <w:pPr/>
    <w:rPr>
      <w:sz w:val="20"/>
    </w:rPr>
  </w:style>
  <w:style w:type="paragraph" w:styleId="P2">
    <w:name w:val="Tekst balončića"/>
    <w:basedOn w:val="P0"/>
    <w:next w:val="P2"/>
    <w:link w:val="C6"/>
    <w:pPr/>
    <w:rPr>
      <w:rFonts w:ascii="Tahoma" w:hAnsi="Tahoma"/>
      <w:sz w:val="16"/>
    </w:rPr>
  </w:style>
  <w:style w:type="paragraph" w:styleId="P3">
    <w:name w:val="Odlomak popisa"/>
    <w:basedOn w:val="P0"/>
    <w:next w:val="P3"/>
    <w:qFormat/>
    <w:pPr>
      <w:suppressAutoHyphens w:val="1"/>
      <w:ind w:left="720"/>
      <w:contextualSpacing w:val="1"/>
    </w:pPr>
    <w:rPr>
      <w:sz w:val="20"/>
    </w:rPr>
  </w:style>
  <w:style w:type="paragraph" w:styleId="P4">
    <w:name w:val="Zaglavlje"/>
    <w:basedOn w:val="P0"/>
    <w:next w:val="P4"/>
    <w:link w:val="C8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9"/>
    <w:pPr>
      <w:tabs>
        <w:tab w:val="center" w:pos="4536" w:leader="none"/>
        <w:tab w:val="right" w:pos="9072" w:leader="none"/>
      </w:tabs>
    </w:pPr>
    <w:rPr/>
  </w:style>
  <w:style w:type="paragraph" w:styleId="P6">
    <w:name w:val="Predmet komentara"/>
    <w:basedOn w:val="P1"/>
    <w:next w:val="P1"/>
    <w:link w:val="C5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komentara"/>
    <w:rPr>
      <w:sz w:val="16"/>
    </w:rPr>
  </w:style>
  <w:style w:type="character" w:styleId="C5">
    <w:name w:val="Predmet komentara Char"/>
    <w:link w:val="P6"/>
    <w:rPr>
      <w:b w:val="1"/>
    </w:rPr>
  </w:style>
  <w:style w:type="character" w:styleId="C6">
    <w:name w:val="Tekst balončića Char"/>
    <w:link w:val="P2"/>
    <w:rPr>
      <w:rFonts w:ascii="Tahoma" w:hAnsi="Tahoma"/>
      <w:sz w:val="16"/>
    </w:rPr>
  </w:style>
  <w:style w:type="character" w:styleId="C7">
    <w:name w:val="Istaknuto"/>
    <w:qFormat/>
    <w:rPr>
      <w:i w:val="1"/>
    </w:rPr>
  </w:style>
  <w:style w:type="character" w:styleId="C8">
    <w:name w:val="Zaglavlje Char"/>
    <w:link w:val="P4"/>
    <w:rPr/>
  </w:style>
  <w:style w:type="character" w:styleId="C9">
    <w:name w:val="Podnožje Char"/>
    <w:link w:val="P5"/>
    <w:rPr/>
  </w:style>
  <w:style w:type="character" w:styleId="C10">
    <w:name w:val="Tekst komentara Char"/>
    <w:basedOn w:val="C3"/>
    <w:link w:val="P1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Klasična tablica 2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5">
    <w:name w:val="Klasična tablica 3"/>
    <w:basedOn w:val="T2"/>
    <w:rPr>
      <w:color w:val="000080"/>
    </w:rPr>
    <w:tblPr>
      <w:tblBorders>
        <w:top w:val="single" w:sz="12" w:space="0" w:shadow="0" w:frame="0" w:color="000000"/>
        <w:left w:val="single" w:sz="12" w:space="0" w:shadow="0" w:frame="0" w:color="000000"/>
        <w:bottom w:val="single" w:sz="12" w:space="0" w:shadow="0" w:frame="0" w:color="000000"/>
        <w:right w:val="single" w:sz="12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Elegantna tablica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IM</dc:creator>
  <dcterms:created xsi:type="dcterms:W3CDTF">2023-05-09T11:53:00Z</dcterms:created>
  <cp:lastModifiedBy>Zoran Gumbas</cp:lastModifiedBy>
  <cp:lastPrinted>2023-06-13T08:38:00Z</cp:lastPrinted>
  <dcterms:modified xsi:type="dcterms:W3CDTF">2023-08-03T12:33:22Z</dcterms:modified>
  <cp:revision>26</cp:revision>
  <dc:title>KLASA:</dc:title>
</cp:coreProperties>
</file>