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5924"/>
      </w:tblGrid>
      <w:tr w:rsidR="002333D3" w14:paraId="32725B3A" w14:textId="77777777" w:rsidTr="00D56828">
        <w:trPr>
          <w:trHeight w:val="1260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43E84" w:rsidRDefault="002333D3" w:rsidP="001F5755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1167B3D2" w:rsidR="002333D3" w:rsidRPr="00E90066" w:rsidRDefault="00E005E2" w:rsidP="00D56828">
            <w:pPr>
              <w:jc w:val="both"/>
              <w:rPr>
                <w:b/>
              </w:rPr>
            </w:pPr>
            <w:r>
              <w:rPr>
                <w:b/>
              </w:rPr>
              <w:t>Prijedlog nacrta Izmjena i dopuna</w:t>
            </w:r>
            <w:r w:rsidR="00CC0C63" w:rsidRPr="00CC0C63">
              <w:rPr>
                <w:b/>
              </w:rPr>
              <w:t xml:space="preserve"> Plana razvoja Krapinsko-zagorske županije 2021.-2027.</w:t>
            </w:r>
            <w:r w:rsidR="00824C13">
              <w:rPr>
                <w:b/>
              </w:rPr>
              <w:t xml:space="preserve"> godine</w:t>
            </w:r>
          </w:p>
        </w:tc>
      </w:tr>
      <w:tr w:rsidR="002333D3" w14:paraId="4AC4A9BB" w14:textId="77777777" w:rsidTr="00D56828">
        <w:trPr>
          <w:trHeight w:val="835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9B30E9D" w14:textId="638C0C76" w:rsidR="00D56828" w:rsidRDefault="002F3643">
            <w:r w:rsidRPr="00194E71">
              <w:t xml:space="preserve">Upravni za gospodarstvo, poljoprivredu, </w:t>
            </w:r>
            <w:r w:rsidR="00CC0C63">
              <w:t>turizam,</w:t>
            </w:r>
          </w:p>
          <w:p w14:paraId="10348AFC" w14:textId="0FAD62C6" w:rsidR="002333D3" w:rsidRPr="00194E71" w:rsidRDefault="002F3643">
            <w:r w:rsidRPr="00194E71">
              <w:t xml:space="preserve">promet i komunalnu infrastrukturu 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7000C7F" w14:textId="6B9F1D58" w:rsidR="00DE3194" w:rsidRDefault="00ED7AB7" w:rsidP="00287920">
            <w:pPr>
              <w:jc w:val="both"/>
            </w:pPr>
            <w:r w:rsidRPr="00824C13">
              <w:t>Plan razvoja Krapinsko-zagorske županije 2021.-2027.</w:t>
            </w:r>
            <w:r w:rsidR="00824C13" w:rsidRPr="00824C13">
              <w:t xml:space="preserve"> godine</w:t>
            </w:r>
            <w:r w:rsidR="004A3ADA" w:rsidRPr="00824C13">
              <w:t xml:space="preserve"> temeljni</w:t>
            </w:r>
            <w:r w:rsidR="004767EA">
              <w:t xml:space="preserve"> je</w:t>
            </w:r>
            <w:r w:rsidR="004A3ADA" w:rsidRPr="00824C13">
              <w:t xml:space="preserve"> srednjoročni akt strateškog planiranja od značaja za Krapinsko-zagorsku županiju kojim se definiraju posebni ciljevi za provedbu strateških ciljeva iz dugoročnih akata strateškog planiranja</w:t>
            </w:r>
            <w:r w:rsidR="00824C13" w:rsidRPr="00824C13">
              <w:t>,</w:t>
            </w:r>
            <w:r w:rsidR="004A3ADA" w:rsidRPr="00824C13">
              <w:t xml:space="preserve"> odnosno iz Nacionalne razvojne strategije. Plan razvoja </w:t>
            </w:r>
            <w:r w:rsidR="00824C13" w:rsidRPr="00824C13">
              <w:t xml:space="preserve">donesen je </w:t>
            </w:r>
            <w:r w:rsidR="004A3ADA" w:rsidRPr="00824C13">
              <w:t xml:space="preserve">kako bi se definirao smjer daljnjeg razvoja Krapinsko-zagorske županije te osigurala strateška podloga za upravljanje razvojem sukladno gospodarskim i socijalnim ciljevima i potrebama poboljšanja kvalitete života, zaštite i očuvanja okoliša, ostvarivanja energetskih ušteda i energetske učinkovitosti i drugim ciljevima održivog razvoja. </w:t>
            </w:r>
          </w:p>
          <w:p w14:paraId="5B8906CE" w14:textId="77777777" w:rsidR="00824C13" w:rsidRDefault="00824C13" w:rsidP="00287920">
            <w:pPr>
              <w:jc w:val="both"/>
            </w:pPr>
            <w:r w:rsidRPr="00824C13">
              <w:t>S obzirom na utvrđenu potrebu za manjim intervencijama u sadržaju Plana razvoja Krapinsko-zagorske županije 2021.-2027., Krapinsko-zagorska županija pristupila je procesu izmjena i dopuna Plana razvoja.</w:t>
            </w:r>
          </w:p>
          <w:p w14:paraId="3507D9DB" w14:textId="77777777" w:rsidR="00824C13" w:rsidRDefault="00824C13" w:rsidP="00824C13">
            <w:pPr>
              <w:jc w:val="both"/>
            </w:pPr>
            <w:r>
              <w:t>Razlozi pokretanja izmjena i dopuna Plana razvoja su:</w:t>
            </w:r>
          </w:p>
          <w:p w14:paraId="17AD1825" w14:textId="77777777" w:rsidR="00824C13" w:rsidRDefault="00824C13" w:rsidP="00824C13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dopuna dijelove koji se odnose na izmjene zakonskih i podzakonskih akata,</w:t>
            </w:r>
          </w:p>
          <w:p w14:paraId="6683F0C5" w14:textId="77777777" w:rsidR="00824C13" w:rsidRDefault="00824C13" w:rsidP="00824C13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dopuna usklađenosti Plana razvoja sa strateško-planskim aktima na nacionalnoj razini,</w:t>
            </w:r>
          </w:p>
          <w:p w14:paraId="6EB8B1A5" w14:textId="77777777" w:rsidR="00824C13" w:rsidRDefault="00824C13" w:rsidP="00824C13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manje prilagodbe opisa prioriteta razvoja, strateškog okvira, opisa „Projekta povezivanja željeznicom unutar funkcionalne regije Središnja Hrvatska – Lepoglavska spojnica“ koji je strateški projekt važan za razvoj Krapinsko-zagorske županije iz nadležnosti drugih tijela te pokazatelja ishoda,</w:t>
            </w:r>
          </w:p>
          <w:p w14:paraId="3E83FF5A" w14:textId="77777777" w:rsidR="00824C13" w:rsidRDefault="00824C13" w:rsidP="00824C13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izmjena planiranog razdoblja provođenja vrednovanja tijekom provedbe (srednjoročnog vrednovanja),</w:t>
            </w:r>
          </w:p>
          <w:p w14:paraId="238B6D17" w14:textId="77777777" w:rsidR="00824C13" w:rsidRDefault="00824C13" w:rsidP="00824C13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manje korekcije sadržaja te</w:t>
            </w:r>
          </w:p>
          <w:p w14:paraId="07FA5E35" w14:textId="1E57A616" w:rsidR="00824C13" w:rsidRPr="00824C13" w:rsidRDefault="00824C13" w:rsidP="00824C13">
            <w:pPr>
              <w:pStyle w:val="Odlomakpopisa"/>
              <w:numPr>
                <w:ilvl w:val="0"/>
                <w:numId w:val="1"/>
              </w:numPr>
              <w:jc w:val="both"/>
            </w:pPr>
            <w:r w:rsidRPr="00824C13">
              <w:t>pretvorba</w:t>
            </w:r>
            <w:r>
              <w:t xml:space="preserve"> kunskih vrijednosti u sadržaju Plana razvoja u eure uslijed uvođenja eura kao službene valute Republike Hrvatske od 01. siječnja 2023. godine.</w:t>
            </w:r>
          </w:p>
        </w:tc>
      </w:tr>
      <w:tr w:rsidR="008B3E93" w14:paraId="5531BAA0" w14:textId="77777777" w:rsidTr="00D56828">
        <w:trPr>
          <w:trHeight w:val="706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ACE3E1C" w14:textId="5EA99E66" w:rsidR="00AF311A" w:rsidRPr="00FF6E77" w:rsidRDefault="00AF311A" w:rsidP="00AF311A">
            <w:pPr>
              <w:jc w:val="both"/>
            </w:pPr>
            <w:r w:rsidRPr="00FF6E77">
              <w:t>Nositelj izrade</w:t>
            </w:r>
            <w:r w:rsidR="00E005E2">
              <w:t xml:space="preserve"> Prijedloga nacrta</w:t>
            </w:r>
            <w:r w:rsidR="00FF6E77" w:rsidRPr="00FF6E77">
              <w:t xml:space="preserve"> Izmjena i dopuna</w:t>
            </w:r>
            <w:r w:rsidRPr="00FF6E77">
              <w:t xml:space="preserve"> Plana razvoja Krapinsko-zagorske županije 2021.-2027</w:t>
            </w:r>
            <w:r w:rsidR="00FF6E77" w:rsidRPr="00FF6E77">
              <w:t xml:space="preserve">. </w:t>
            </w:r>
            <w:r w:rsidRPr="00FF6E77">
              <w:t xml:space="preserve">je Upravni za gospodarstvo, poljoprivredu, turizam, promet i </w:t>
            </w:r>
            <w:r w:rsidRPr="00FF6E77">
              <w:lastRenderedPageBreak/>
              <w:t>komunalnu infrastrukturu, a tijelo zaduženo za koordinaciju izrade je regionalni koordinator Zagorska razvojna agencija.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lastRenderedPageBreak/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Default="004767EA" w:rsidP="00943E84">
            <w:pPr>
              <w:jc w:val="both"/>
              <w:rPr>
                <w:rStyle w:val="Hiperveza"/>
              </w:rPr>
            </w:pPr>
            <w:hyperlink r:id="rId5" w:history="1">
              <w:r w:rsidR="00C12F8A" w:rsidRPr="00EB5523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5E0311BB" w:rsidR="00862E60" w:rsidRDefault="004767EA" w:rsidP="00943E84">
            <w:pPr>
              <w:jc w:val="both"/>
            </w:pPr>
            <w:hyperlink r:id="rId6" w:history="1">
              <w:r w:rsidR="00FF6E77" w:rsidRPr="0071152A">
                <w:rPr>
                  <w:rStyle w:val="Hiperveza"/>
                </w:rPr>
                <w:t>https://kzz.hr/natjecaj/savjetovanje-izmjena-i-dopuna-plana-razvoja-kzz-2021-2027/</w:t>
              </w:r>
            </w:hyperlink>
            <w:r w:rsidR="00FF6E77">
              <w:t xml:space="preserve"> </w:t>
            </w:r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15BC398C" w:rsidR="00C12F8A" w:rsidRPr="00D56828" w:rsidRDefault="00C12F8A" w:rsidP="001F5755">
            <w:pPr>
              <w:jc w:val="both"/>
              <w:rPr>
                <w:color w:val="FF0000"/>
              </w:rPr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 xml:space="preserve">lo je od </w:t>
            </w:r>
            <w:r w:rsidR="003C2476">
              <w:t>26.11</w:t>
            </w:r>
            <w:r w:rsidR="00CC0C63">
              <w:t>.202</w:t>
            </w:r>
            <w:r w:rsidR="003C2476">
              <w:t>3</w:t>
            </w:r>
            <w:r w:rsidR="00CC0C63">
              <w:t xml:space="preserve">. do </w:t>
            </w:r>
            <w:r w:rsidR="003C2476">
              <w:t>27.11</w:t>
            </w:r>
            <w:r w:rsidR="00CC0C63">
              <w:t>.202</w:t>
            </w:r>
            <w:r w:rsidR="003C2476">
              <w:t>3</w:t>
            </w:r>
            <w:r w:rsidR="001F5755">
              <w:t>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4FF8C1AA" w:rsidR="00EF7BEC" w:rsidRPr="00FF6E77" w:rsidRDefault="00FF6E77" w:rsidP="001171B7">
            <w:pPr>
              <w:jc w:val="both"/>
            </w:pPr>
            <w:r w:rsidRPr="00FF6E77">
              <w:t xml:space="preserve">U razdoblju trajanja savjetovanja s javnošću svoje očitovanje na </w:t>
            </w:r>
            <w:r w:rsidR="00E005E2">
              <w:t>Prijedlog nacrta</w:t>
            </w:r>
            <w:r w:rsidRPr="00FF6E77">
              <w:t xml:space="preserve"> Izmjena i dopuna Plana razvoja Krapinsko-zagorske županije 2021.-2027. godine dostavila je Općina Marija Bistrica.</w:t>
            </w:r>
          </w:p>
        </w:tc>
      </w:tr>
      <w:tr w:rsidR="00C12F8A" w14:paraId="316B2AD7" w14:textId="77777777" w:rsidTr="008B447F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3E04138C" w14:textId="7AF0753D" w:rsidR="008B447F" w:rsidRDefault="008B447F" w:rsidP="00D56828">
            <w:pPr>
              <w:jc w:val="both"/>
              <w:rPr>
                <w:b/>
              </w:rPr>
            </w:pPr>
            <w:r>
              <w:rPr>
                <w:b/>
              </w:rPr>
              <w:t xml:space="preserve">Primjedba </w:t>
            </w:r>
            <w:r w:rsidRPr="008B447F">
              <w:rPr>
                <w:b/>
              </w:rPr>
              <w:t>Općin</w:t>
            </w:r>
            <w:r>
              <w:rPr>
                <w:b/>
              </w:rPr>
              <w:t>e</w:t>
            </w:r>
            <w:r w:rsidRPr="008B447F">
              <w:rPr>
                <w:b/>
              </w:rPr>
              <w:t xml:space="preserve"> Marija Bistrica</w:t>
            </w:r>
            <w:r>
              <w:rPr>
                <w:b/>
              </w:rPr>
              <w:t>:</w:t>
            </w:r>
          </w:p>
          <w:p w14:paraId="68AAABDE" w14:textId="0571E745" w:rsidR="008B447F" w:rsidRPr="005205D7" w:rsidRDefault="008B447F" w:rsidP="008B447F">
            <w:pPr>
              <w:jc w:val="both"/>
              <w:rPr>
                <w:bCs/>
                <w:i/>
                <w:iCs/>
              </w:rPr>
            </w:pPr>
            <w:r w:rsidRPr="005205D7">
              <w:rPr>
                <w:bCs/>
                <w:i/>
                <w:iCs/>
              </w:rPr>
              <w:t>Mogućnost dodavanja izgradnje Interpretacijskog centra drvenih igračaka i licitara u Mariji Bistrici pod strateški važne projekte za razvoj Krapinsko-zagorske županije iz nadležnosti drugih tijela.</w:t>
            </w:r>
          </w:p>
          <w:p w14:paraId="76905FBA" w14:textId="77777777" w:rsidR="008B447F" w:rsidRPr="005205D7" w:rsidRDefault="008B447F" w:rsidP="008B447F">
            <w:pPr>
              <w:jc w:val="both"/>
              <w:rPr>
                <w:bCs/>
                <w:i/>
                <w:iCs/>
              </w:rPr>
            </w:pPr>
            <w:r w:rsidRPr="005205D7">
              <w:rPr>
                <w:bCs/>
                <w:i/>
                <w:iCs/>
              </w:rPr>
              <w:t>Umijeće izrade drvenih igračaka i licitara upisano je na UNESCO – vu Reprezentativnu listu</w:t>
            </w:r>
          </w:p>
          <w:p w14:paraId="17702521" w14:textId="12B3E12A" w:rsidR="008B447F" w:rsidRPr="005205D7" w:rsidRDefault="008B447F" w:rsidP="008B447F">
            <w:pPr>
              <w:jc w:val="both"/>
              <w:rPr>
                <w:bCs/>
                <w:i/>
                <w:iCs/>
              </w:rPr>
            </w:pPr>
            <w:r w:rsidRPr="005205D7">
              <w:rPr>
                <w:bCs/>
                <w:i/>
                <w:iCs/>
              </w:rPr>
              <w:t>Nematerijalne kulturne baštine, a najveća koncentracija majstora i obrtnika nalazi se upravo u Mariji Bistrici. Za dugoročno očuvanje i održivost tradicijskih obrta, te stvaranje dodane vrijednosti u turizmu cilj nam je izgradnja Interpretacijskog centra drvenih igračaka i licitara u Mariji</w:t>
            </w:r>
          </w:p>
          <w:p w14:paraId="444D2394" w14:textId="77777777" w:rsidR="008B447F" w:rsidRPr="005205D7" w:rsidRDefault="008B447F" w:rsidP="008B447F">
            <w:pPr>
              <w:jc w:val="both"/>
              <w:rPr>
                <w:bCs/>
                <w:i/>
                <w:iCs/>
              </w:rPr>
            </w:pPr>
            <w:r w:rsidRPr="005205D7">
              <w:rPr>
                <w:bCs/>
                <w:i/>
                <w:iCs/>
              </w:rPr>
              <w:t>Bistrici.</w:t>
            </w:r>
          </w:p>
          <w:p w14:paraId="5E5AAE45" w14:textId="77777777" w:rsidR="008B447F" w:rsidRPr="005205D7" w:rsidRDefault="008B447F" w:rsidP="008B447F">
            <w:pPr>
              <w:jc w:val="both"/>
              <w:rPr>
                <w:bCs/>
                <w:i/>
                <w:iCs/>
              </w:rPr>
            </w:pPr>
            <w:r w:rsidRPr="005205D7">
              <w:rPr>
                <w:bCs/>
                <w:i/>
                <w:iCs/>
              </w:rPr>
              <w:t>Za održivi razvoj općine Marija Bistrica važno je prije svega zaštiti bogatu kulturnu baštinu. Uz očuvanje kulturnih objekata i umjetnina, očuvanje običaja, jezika, usmene predaje, tradicije, a pogotovo tradicijskih obrta i proizvoda, od krucijalnog je značaja za održivi razvoj općine. S obzirom da postoje nužni preduvjeti za izgradnju Muzeja; zemljište koje je u vlasništvu Općine i nalazi se u prostornom planu slijedeći korak je osnivanje radne skupine</w:t>
            </w:r>
          </w:p>
          <w:p w14:paraId="7536500D" w14:textId="77777777" w:rsidR="00C12F8A" w:rsidRDefault="008B447F" w:rsidP="008B447F">
            <w:pPr>
              <w:jc w:val="both"/>
              <w:rPr>
                <w:bCs/>
                <w:i/>
                <w:iCs/>
              </w:rPr>
            </w:pPr>
            <w:r w:rsidRPr="005205D7">
              <w:rPr>
                <w:bCs/>
                <w:i/>
                <w:iCs/>
              </w:rPr>
              <w:t>koja će stvoriti sve preduvjete potrebne za prijavljivanje projekta na neki od natječaja u novoj financijskoj omotnici Europske unije.</w:t>
            </w:r>
          </w:p>
          <w:p w14:paraId="7902870C" w14:textId="77777777" w:rsidR="005205D7" w:rsidRDefault="005205D7" w:rsidP="008B447F">
            <w:pPr>
              <w:jc w:val="both"/>
              <w:rPr>
                <w:b/>
                <w:i/>
                <w:iCs/>
              </w:rPr>
            </w:pPr>
          </w:p>
          <w:p w14:paraId="48CE67A6" w14:textId="18394C49" w:rsidR="005205D7" w:rsidRPr="005205D7" w:rsidRDefault="005205D7" w:rsidP="008B447F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Primjedba se prihvaća. 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713D752A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  <w:r w:rsidR="00CC0C63">
              <w:t xml:space="preserve"> </w:t>
            </w:r>
          </w:p>
        </w:tc>
      </w:tr>
    </w:tbl>
    <w:p w14:paraId="5D9CCB0A" w14:textId="77777777" w:rsidR="008A416B" w:rsidRDefault="008A416B" w:rsidP="00624EB3"/>
    <w:p w14:paraId="05BA3797" w14:textId="77777777" w:rsidR="008D7B8E" w:rsidRDefault="008D7B8E" w:rsidP="00624EB3"/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6B6"/>
    <w:multiLevelType w:val="hybridMultilevel"/>
    <w:tmpl w:val="6A5E0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86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719C5"/>
    <w:rsid w:val="001078DC"/>
    <w:rsid w:val="001171B7"/>
    <w:rsid w:val="0014570F"/>
    <w:rsid w:val="00194E71"/>
    <w:rsid w:val="0019641D"/>
    <w:rsid w:val="001F5755"/>
    <w:rsid w:val="002333D3"/>
    <w:rsid w:val="00265E2C"/>
    <w:rsid w:val="00287920"/>
    <w:rsid w:val="002F3643"/>
    <w:rsid w:val="003C2476"/>
    <w:rsid w:val="003D4919"/>
    <w:rsid w:val="0041620C"/>
    <w:rsid w:val="004767EA"/>
    <w:rsid w:val="004A3ADA"/>
    <w:rsid w:val="004E60BE"/>
    <w:rsid w:val="004F057F"/>
    <w:rsid w:val="00510773"/>
    <w:rsid w:val="005205D7"/>
    <w:rsid w:val="005850D8"/>
    <w:rsid w:val="005B25BB"/>
    <w:rsid w:val="005D3E10"/>
    <w:rsid w:val="005F1BD9"/>
    <w:rsid w:val="00624EB3"/>
    <w:rsid w:val="006E657A"/>
    <w:rsid w:val="0072339A"/>
    <w:rsid w:val="0074743C"/>
    <w:rsid w:val="007566AE"/>
    <w:rsid w:val="007F114C"/>
    <w:rsid w:val="00824C13"/>
    <w:rsid w:val="00862E60"/>
    <w:rsid w:val="008A416B"/>
    <w:rsid w:val="008B3E93"/>
    <w:rsid w:val="008B447F"/>
    <w:rsid w:val="008D7B8E"/>
    <w:rsid w:val="00943E84"/>
    <w:rsid w:val="00AF01C8"/>
    <w:rsid w:val="00AF311A"/>
    <w:rsid w:val="00B86EF0"/>
    <w:rsid w:val="00B9448B"/>
    <w:rsid w:val="00C12F8A"/>
    <w:rsid w:val="00C41AA5"/>
    <w:rsid w:val="00CA4080"/>
    <w:rsid w:val="00CA66FE"/>
    <w:rsid w:val="00CC0C63"/>
    <w:rsid w:val="00D2127A"/>
    <w:rsid w:val="00D515E3"/>
    <w:rsid w:val="00D56828"/>
    <w:rsid w:val="00DE3194"/>
    <w:rsid w:val="00E005E2"/>
    <w:rsid w:val="00E1238E"/>
    <w:rsid w:val="00E90066"/>
    <w:rsid w:val="00E904B9"/>
    <w:rsid w:val="00E979AA"/>
    <w:rsid w:val="00EB7659"/>
    <w:rsid w:val="00ED7AB7"/>
    <w:rsid w:val="00EF7BEC"/>
    <w:rsid w:val="00F20513"/>
    <w:rsid w:val="00F50D3D"/>
    <w:rsid w:val="00FF329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FF6E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2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zz.hr/natjecaj/savjetovanje-izmjena-i-dopuna-plana-razvoja-kzz-2021-2027/" TargetMode="Externa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522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4351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 Sviben </cp:lastModifiedBy>
  <cp:revision>33</cp:revision>
  <cp:lastPrinted>2019-02-01T07:03:00Z</cp:lastPrinted>
  <dcterms:created xsi:type="dcterms:W3CDTF">2019-02-27T12:51:00Z</dcterms:created>
  <dcterms:modified xsi:type="dcterms:W3CDTF">2023-12-06T06:07:00Z</dcterms:modified>
</cp:coreProperties>
</file>