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766" w:tblpY="-696"/>
        <w:tblW w:w="0" w:type="auto"/>
        <w:tblLook w:val="04A0" w:firstRow="1" w:lastRow="0" w:firstColumn="1" w:lastColumn="0" w:noHBand="0" w:noVBand="1"/>
      </w:tblPr>
      <w:tblGrid>
        <w:gridCol w:w="5064"/>
      </w:tblGrid>
      <w:tr w:rsidR="00A61DF3" w:rsidRPr="00A61DF3" w14:paraId="6A35F513" w14:textId="77777777" w:rsidTr="00A61DF3">
        <w:trPr>
          <w:trHeight w:val="1408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005223D9" w14:textId="77777777" w:rsidR="00A61DF3" w:rsidRPr="00A61DF3" w:rsidRDefault="00A61DF3" w:rsidP="00A61DF3">
            <w:pPr>
              <w:spacing w:line="240" w:lineRule="auto"/>
              <w:contextualSpacing/>
              <w:jc w:val="left"/>
              <w:rPr>
                <w:rFonts w:ascii="PDF417x" w:eastAsia="Calibri" w:hAnsi="PDF417x" w:cs="Times New Roman"/>
                <w:noProof/>
                <w:szCs w:val="24"/>
              </w:rPr>
            </w:pPr>
            <w:bookmarkStart w:id="0" w:name="_Hlk107255613"/>
            <w:r w:rsidRPr="00A61DF3">
              <w:rPr>
                <w:rFonts w:ascii="PDF417x" w:eastAsia="Calibri" w:hAnsi="PDF417x" w:cs="Times New Roman"/>
                <w:noProof/>
                <w:szCs w:val="24"/>
              </w:rPr>
              <w:t>+*xfs*pvs*lsu*cvA*xBj*qkc*oEa*dvk*csg*vok*pBk*-</w:t>
            </w:r>
            <w:r w:rsidRPr="00A61DF3">
              <w:rPr>
                <w:rFonts w:ascii="PDF417x" w:eastAsia="Calibri" w:hAnsi="PDF417x" w:cs="Times New Roman"/>
                <w:noProof/>
                <w:szCs w:val="24"/>
              </w:rPr>
              <w:br/>
              <w:t>+*yqw*vDl*jow*xas*yni*krn*ziv*Avx*tjb*jus*zew*-</w:t>
            </w:r>
            <w:r w:rsidRPr="00A61DF3">
              <w:rPr>
                <w:rFonts w:ascii="PDF417x" w:eastAsia="Calibri" w:hAnsi="PDF417x" w:cs="Times New Roman"/>
                <w:noProof/>
                <w:szCs w:val="24"/>
              </w:rPr>
              <w:br/>
              <w:t>+*eDs*lyd*lyd*lyd*lyd*Awn*tfy*dbk*jFA*DlD*zfE*-</w:t>
            </w:r>
            <w:r w:rsidRPr="00A61DF3">
              <w:rPr>
                <w:rFonts w:ascii="PDF417x" w:eastAsia="Calibri" w:hAnsi="PDF417x" w:cs="Times New Roman"/>
                <w:noProof/>
                <w:szCs w:val="24"/>
              </w:rPr>
              <w:br/>
              <w:t>+*ftw*cag*lmC*mDb*oFk*vlc*xvb*kkq*tCw*xli*onA*-</w:t>
            </w:r>
            <w:r w:rsidRPr="00A61DF3">
              <w:rPr>
                <w:rFonts w:ascii="PDF417x" w:eastAsia="Calibri" w:hAnsi="PDF417x" w:cs="Times New Roman"/>
                <w:noProof/>
                <w:szCs w:val="24"/>
              </w:rPr>
              <w:br/>
              <w:t>+*ftA*uBv*EyB*nuz*mjg*ysm*yit*ptA*obE*myg*uws*-</w:t>
            </w:r>
            <w:r w:rsidRPr="00A61DF3">
              <w:rPr>
                <w:rFonts w:ascii="PDF417x" w:eastAsia="Calibri" w:hAnsi="PDF417x" w:cs="Times New Roman"/>
                <w:noProof/>
                <w:szCs w:val="24"/>
              </w:rPr>
              <w:br/>
              <w:t>+*xjq*gls*lpw*rCw*gcb*gkw*nEj*yfl*gxy*gxy*uzq*-</w:t>
            </w:r>
            <w:r w:rsidRPr="00A61DF3">
              <w:rPr>
                <w:rFonts w:ascii="PDF417x" w:eastAsia="Calibri" w:hAnsi="PDF417x" w:cs="Times New Roman"/>
                <w:noProof/>
                <w:szCs w:val="24"/>
              </w:rPr>
              <w:br/>
            </w:r>
          </w:p>
        </w:tc>
      </w:tr>
    </w:tbl>
    <w:bookmarkEnd w:id="0"/>
    <w:p w14:paraId="265FD913" w14:textId="77777777" w:rsidR="00A61DF3" w:rsidRPr="00701A18" w:rsidRDefault="00701A18" w:rsidP="00701A18">
      <w:pPr>
        <w:spacing w:after="0" w:line="240" w:lineRule="auto"/>
        <w:jc w:val="left"/>
        <w:rPr>
          <w:rFonts w:eastAsia="Times New Roman" w:cs="Times New Roman"/>
          <w:b/>
          <w:noProof/>
          <w:sz w:val="22"/>
          <w:lang w:val="en-GB"/>
        </w:rPr>
      </w:pPr>
      <w:r w:rsidRPr="00701A18">
        <w:rPr>
          <w:rFonts w:eastAsia="Times New Roman" w:cs="Times New Roman"/>
          <w:b/>
          <w:noProof/>
          <w:sz w:val="22"/>
          <w:lang w:val="en-GB"/>
        </w:rPr>
        <w:t xml:space="preserve">                             </w:t>
      </w:r>
      <w:r w:rsidRPr="00701A18">
        <w:rPr>
          <w:rFonts w:eastAsia="Times New Roman" w:cs="Times New Roman"/>
          <w:b/>
          <w:noProof/>
          <w:sz w:val="22"/>
          <w:lang w:val="en-GB"/>
        </w:rPr>
        <w:drawing>
          <wp:inline distT="0" distB="0" distL="0" distR="0" wp14:anchorId="4FAAF8AA" wp14:editId="6D1261C7">
            <wp:extent cx="523875" cy="666750"/>
            <wp:effectExtent l="0" t="0" r="9525" b="0"/>
            <wp:docPr id="1230320909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F838" w14:textId="77777777" w:rsidR="00701A18" w:rsidRPr="00701A18" w:rsidRDefault="00701A18" w:rsidP="00701A18">
      <w:pPr>
        <w:spacing w:after="0" w:line="240" w:lineRule="auto"/>
        <w:jc w:val="left"/>
        <w:rPr>
          <w:rFonts w:eastAsia="Times New Roman" w:cs="Times New Roman"/>
          <w:b/>
          <w:sz w:val="22"/>
          <w:lang w:val="en-GB"/>
        </w:rPr>
      </w:pPr>
    </w:p>
    <w:p w14:paraId="03906D90" w14:textId="77777777" w:rsidR="00701A18" w:rsidRPr="00701A18" w:rsidRDefault="00701A18" w:rsidP="00701A18">
      <w:pPr>
        <w:spacing w:after="0" w:line="240" w:lineRule="auto"/>
        <w:jc w:val="left"/>
        <w:rPr>
          <w:rFonts w:eastAsia="Times New Roman" w:cs="Times New Roman"/>
          <w:b/>
          <w:sz w:val="22"/>
          <w:lang w:val="en-GB"/>
        </w:rPr>
      </w:pPr>
      <w:r w:rsidRPr="00701A18">
        <w:rPr>
          <w:rFonts w:eastAsia="Times New Roman" w:cs="Times New Roman"/>
          <w:sz w:val="22"/>
          <w:lang w:val="en-GB"/>
        </w:rPr>
        <w:t xml:space="preserve">               </w:t>
      </w:r>
      <w:r w:rsidRPr="00701A18">
        <w:rPr>
          <w:rFonts w:eastAsia="Times New Roman" w:cs="Times New Roman"/>
          <w:b/>
          <w:sz w:val="22"/>
          <w:lang w:val="en-GB"/>
        </w:rPr>
        <w:t>REPUBLIKA HRVATSKA</w:t>
      </w:r>
      <w:r w:rsidRPr="00701A18">
        <w:rPr>
          <w:rFonts w:eastAsia="Times New Roman" w:cs="Times New Roman"/>
          <w:b/>
          <w:sz w:val="22"/>
          <w:lang w:val="en-GB"/>
        </w:rPr>
        <w:br/>
        <w:t xml:space="preserve">      KRAPINSKO-ZAGORSKA ŽUPANIJA</w:t>
      </w:r>
    </w:p>
    <w:p w14:paraId="56C7F265" w14:textId="77777777" w:rsidR="00701A18" w:rsidRDefault="00701A18" w:rsidP="00701A18">
      <w:pPr>
        <w:suppressAutoHyphens/>
        <w:spacing w:after="120" w:line="240" w:lineRule="auto"/>
        <w:jc w:val="left"/>
        <w:rPr>
          <w:rFonts w:eastAsia="Times New Roman" w:cs="Calibri"/>
          <w:b/>
          <w:sz w:val="22"/>
          <w:lang w:val="pl-PL" w:eastAsia="ar-SA"/>
        </w:rPr>
      </w:pPr>
      <w:r w:rsidRPr="00701A18">
        <w:rPr>
          <w:rFonts w:eastAsia="Times New Roman" w:cs="Calibri"/>
          <w:sz w:val="22"/>
          <w:lang w:val="pl-PL" w:eastAsia="ar-SA"/>
        </w:rPr>
        <w:t xml:space="preserve">                             </w:t>
      </w:r>
      <w:r w:rsidRPr="00701A18">
        <w:rPr>
          <w:rFonts w:eastAsia="Times New Roman" w:cs="Calibri"/>
          <w:b/>
          <w:sz w:val="22"/>
          <w:lang w:val="pl-PL" w:eastAsia="ar-SA"/>
        </w:rPr>
        <w:t xml:space="preserve">Ž U P A N </w:t>
      </w:r>
    </w:p>
    <w:p w14:paraId="08830E73" w14:textId="77777777" w:rsidR="00701A18" w:rsidRPr="00701A18" w:rsidRDefault="00701A18" w:rsidP="00701A18">
      <w:pPr>
        <w:suppressAutoHyphens/>
        <w:spacing w:after="120" w:line="240" w:lineRule="auto"/>
        <w:jc w:val="left"/>
        <w:rPr>
          <w:rFonts w:eastAsia="Times New Roman" w:cs="Calibri"/>
          <w:b/>
          <w:sz w:val="22"/>
          <w:lang w:val="pl-PL" w:eastAsia="ar-SA"/>
        </w:rPr>
      </w:pPr>
    </w:p>
    <w:p w14:paraId="56E82D00" w14:textId="7BCBB0E0" w:rsidR="00FA585A" w:rsidRDefault="00701A18" w:rsidP="00FA585A">
      <w:pPr>
        <w:spacing w:after="0" w:line="240" w:lineRule="auto"/>
      </w:pPr>
      <w:r>
        <w:t>KLASA:470-04/23-01/03</w:t>
      </w:r>
    </w:p>
    <w:p w14:paraId="49EF2B3D" w14:textId="357A456B" w:rsidR="00701A18" w:rsidRDefault="00701A18" w:rsidP="00FA585A">
      <w:pPr>
        <w:spacing w:after="0" w:line="240" w:lineRule="auto"/>
      </w:pPr>
      <w:r>
        <w:t>URBROJ: 2140-07/-23-</w:t>
      </w:r>
      <w:r w:rsidR="000D6350">
        <w:t>3</w:t>
      </w:r>
    </w:p>
    <w:p w14:paraId="4B94DECA" w14:textId="60394AF7" w:rsidR="00701A18" w:rsidRDefault="00701A18" w:rsidP="00FA585A">
      <w:pPr>
        <w:spacing w:after="0" w:line="240" w:lineRule="auto"/>
      </w:pPr>
      <w:r>
        <w:t>Krapina, 29. prosinca 2023.</w:t>
      </w:r>
    </w:p>
    <w:p w14:paraId="24133098" w14:textId="77777777" w:rsidR="00FA585A" w:rsidRDefault="00FA585A" w:rsidP="00FA585A">
      <w:pPr>
        <w:spacing w:after="0" w:line="240" w:lineRule="auto"/>
      </w:pPr>
    </w:p>
    <w:p w14:paraId="0DE4CB46" w14:textId="4890CECA" w:rsidR="006603C8" w:rsidRDefault="00701A18" w:rsidP="00701A18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 w:rsidRPr="00701A18">
        <w:rPr>
          <w:rFonts w:eastAsia="Times New Roman" w:cs="Calibri"/>
          <w:szCs w:val="24"/>
          <w:lang w:eastAsia="ar-SA"/>
        </w:rPr>
        <w:t>Na temelju članka 7. Zakona o sustavu unutarnjih kontrola u javnom sektoru (“Narodne novine” broj 78/2015 i 102/2019) župan Krapinsko-zagorske županije donosi</w:t>
      </w:r>
    </w:p>
    <w:p w14:paraId="75748E1E" w14:textId="77777777" w:rsidR="00701A18" w:rsidRPr="00701A18" w:rsidRDefault="00701A18" w:rsidP="00701A18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</w:p>
    <w:p w14:paraId="0A98C9F7" w14:textId="77777777" w:rsidR="00FA585A" w:rsidRDefault="00FA585A" w:rsidP="003E6589">
      <w:pPr>
        <w:spacing w:before="240" w:line="276" w:lineRule="auto"/>
        <w:jc w:val="center"/>
        <w:rPr>
          <w:b/>
        </w:rPr>
      </w:pPr>
      <w:r w:rsidRPr="00D31D54">
        <w:rPr>
          <w:b/>
        </w:rPr>
        <w:t>STRATEGIJU UPRAVLJANJA RIZICIMA</w:t>
      </w:r>
      <w:r>
        <w:rPr>
          <w:b/>
        </w:rPr>
        <w:t xml:space="preserve"> KRAPINSKO - ZAGORSKE ŽUPANIJE</w:t>
      </w:r>
    </w:p>
    <w:p w14:paraId="41313292" w14:textId="77777777" w:rsidR="00FA585A" w:rsidRDefault="00FA585A" w:rsidP="003E6589">
      <w:pPr>
        <w:spacing w:line="276" w:lineRule="auto"/>
      </w:pPr>
    </w:p>
    <w:p w14:paraId="2DAEDCE8" w14:textId="77777777" w:rsidR="00320BEB" w:rsidRPr="00701A18" w:rsidRDefault="002664DF" w:rsidP="003E6589">
      <w:pPr>
        <w:pStyle w:val="Naslov1"/>
        <w:numPr>
          <w:ilvl w:val="0"/>
          <w:numId w:val="9"/>
        </w:numPr>
        <w:spacing w:line="276" w:lineRule="auto"/>
        <w:ind w:left="426" w:hanging="426"/>
      </w:pPr>
      <w:r w:rsidRPr="00701A18">
        <w:t>UVOD</w:t>
      </w:r>
    </w:p>
    <w:p w14:paraId="285D8AA6" w14:textId="77777777" w:rsidR="002664DF" w:rsidRPr="00701A18" w:rsidRDefault="002664DF" w:rsidP="003E6589">
      <w:pPr>
        <w:spacing w:line="276" w:lineRule="auto"/>
        <w:rPr>
          <w:color w:val="FF0000"/>
        </w:rPr>
      </w:pPr>
    </w:p>
    <w:p w14:paraId="279CB808" w14:textId="7B545B00" w:rsidR="002664DF" w:rsidRPr="00701A18" w:rsidRDefault="002664DF" w:rsidP="003E6589">
      <w:pPr>
        <w:spacing w:line="276" w:lineRule="auto"/>
      </w:pPr>
      <w:r w:rsidRPr="00701A18">
        <w:t xml:space="preserve">Upravljanje  rizicima  definirano  je  Zakonom  o  sustavu  unutarnjih  kontrola  u  javnom  sektoru  </w:t>
      </w:r>
      <w:r w:rsidR="000E4FBA" w:rsidRPr="00701A18">
        <w:t>(NN 78/15</w:t>
      </w:r>
      <w:r w:rsidR="00701A18" w:rsidRPr="00701A18">
        <w:t xml:space="preserve"> i 102/2019</w:t>
      </w:r>
      <w:r w:rsidR="000E4FBA" w:rsidRPr="00701A18">
        <w:t xml:space="preserve">) </w:t>
      </w:r>
      <w:r w:rsidRPr="00701A18">
        <w:t>kao cjelovit  proces  utvrđivanja,  procjenjivanja  i  praćenja  rizika  u  odnosu  na  poslovne  ciljeve  te poduzimanja potrebnih mjera radi smanjenja rizika.</w:t>
      </w:r>
    </w:p>
    <w:p w14:paraId="424CC773" w14:textId="77777777" w:rsidR="002664DF" w:rsidRPr="00701A18" w:rsidRDefault="002664DF" w:rsidP="003E6589">
      <w:pPr>
        <w:spacing w:line="276" w:lineRule="auto"/>
      </w:pPr>
      <w:r w:rsidRPr="00701A18">
        <w:t>Svrha  Strategije  je  opisati  način  na  koji  Krapinsko-zagorska županija</w:t>
      </w:r>
      <w:r w:rsidR="00CE74C7" w:rsidRPr="00701A18">
        <w:t xml:space="preserve"> </w:t>
      </w:r>
      <w:r w:rsidRPr="00701A18">
        <w:t>namjerava  implementirati  sustavan  pristup upravljanju rizicima, razraditi metodologiju procesa upravljanja rizicima prilagođenu specifičnostima institucije te definirati način suradnje s institucijama iz nadležnosti u pogledu koordiniranog pristupa upravljanja rizicima.</w:t>
      </w:r>
    </w:p>
    <w:p w14:paraId="168C57A1" w14:textId="77777777" w:rsidR="002664DF" w:rsidRPr="00701A18" w:rsidRDefault="002664DF" w:rsidP="003E6589">
      <w:pPr>
        <w:pStyle w:val="Naslov1"/>
        <w:spacing w:line="276" w:lineRule="auto"/>
        <w:rPr>
          <w:color w:val="FF0000"/>
        </w:rPr>
      </w:pPr>
    </w:p>
    <w:p w14:paraId="210A6E97" w14:textId="77777777" w:rsidR="002664DF" w:rsidRPr="00701A18" w:rsidRDefault="002664DF" w:rsidP="003E6589">
      <w:pPr>
        <w:pStyle w:val="Naslov1"/>
        <w:numPr>
          <w:ilvl w:val="0"/>
          <w:numId w:val="9"/>
        </w:numPr>
        <w:spacing w:line="276" w:lineRule="auto"/>
        <w:ind w:left="426" w:hanging="426"/>
        <w:jc w:val="both"/>
      </w:pPr>
      <w:r w:rsidRPr="00701A18">
        <w:t>TEMELJNI STAVOVI KRAPINSKO ZAGORSKE ŽUPANIJE O UPRAVLJANJU RIZICIMA</w:t>
      </w:r>
    </w:p>
    <w:p w14:paraId="28416C0D" w14:textId="77777777" w:rsidR="006A57C8" w:rsidRPr="00701A18" w:rsidRDefault="006A57C8" w:rsidP="003E6589">
      <w:pPr>
        <w:pStyle w:val="Odlomakpopisa"/>
        <w:spacing w:line="276" w:lineRule="auto"/>
      </w:pPr>
    </w:p>
    <w:p w14:paraId="70DAF65A" w14:textId="77777777" w:rsidR="006A57C8" w:rsidRPr="00701A18" w:rsidRDefault="006A57C8" w:rsidP="003E6589">
      <w:pPr>
        <w:spacing w:line="276" w:lineRule="auto"/>
        <w:contextualSpacing/>
      </w:pPr>
      <w:r w:rsidRPr="00701A18">
        <w:t xml:space="preserve">Rizici su događaji koji se žele izbjeći jer mogu: </w:t>
      </w:r>
    </w:p>
    <w:p w14:paraId="1B29CD6A" w14:textId="77777777" w:rsidR="006A57C8" w:rsidRPr="00701A18" w:rsidRDefault="006A57C8" w:rsidP="003E6589">
      <w:pPr>
        <w:pStyle w:val="Odlomakpopisa"/>
        <w:numPr>
          <w:ilvl w:val="0"/>
          <w:numId w:val="10"/>
        </w:numPr>
        <w:spacing w:line="276" w:lineRule="auto"/>
        <w:ind w:left="714" w:hanging="357"/>
      </w:pPr>
      <w:r w:rsidRPr="00701A18">
        <w:t xml:space="preserve">ugroziti ostvarenje ciljeva institucije; </w:t>
      </w:r>
    </w:p>
    <w:p w14:paraId="2DBA1295" w14:textId="77777777" w:rsidR="006A57C8" w:rsidRPr="00701A18" w:rsidRDefault="006A57C8" w:rsidP="003E6589">
      <w:pPr>
        <w:pStyle w:val="Odlomakpopisa"/>
        <w:numPr>
          <w:ilvl w:val="0"/>
          <w:numId w:val="10"/>
        </w:numPr>
        <w:spacing w:line="276" w:lineRule="auto"/>
        <w:ind w:left="714" w:hanging="357"/>
      </w:pPr>
      <w:r w:rsidRPr="00701A18">
        <w:t xml:space="preserve">narušiti kvalitetu usluga građanima i izazvati njihovo nezadovoljstvo; </w:t>
      </w:r>
    </w:p>
    <w:p w14:paraId="5667A503" w14:textId="77777777" w:rsidR="006A57C8" w:rsidRPr="00701A18" w:rsidRDefault="006A57C8" w:rsidP="003E6589">
      <w:pPr>
        <w:pStyle w:val="Odlomakpopisa"/>
        <w:numPr>
          <w:ilvl w:val="0"/>
          <w:numId w:val="10"/>
        </w:numPr>
        <w:spacing w:line="276" w:lineRule="auto"/>
        <w:ind w:left="714" w:hanging="357"/>
      </w:pPr>
      <w:r w:rsidRPr="00701A18">
        <w:t xml:space="preserve">naštetiti ugledu institucije; </w:t>
      </w:r>
    </w:p>
    <w:p w14:paraId="6132377C" w14:textId="77777777" w:rsidR="006A57C8" w:rsidRPr="00701A18" w:rsidRDefault="006A57C8" w:rsidP="003E6589">
      <w:pPr>
        <w:pStyle w:val="Odlomakpopisa"/>
        <w:numPr>
          <w:ilvl w:val="0"/>
          <w:numId w:val="10"/>
        </w:numPr>
        <w:spacing w:line="276" w:lineRule="auto"/>
        <w:ind w:left="714" w:hanging="357"/>
      </w:pPr>
      <w:r w:rsidRPr="00701A18">
        <w:t xml:space="preserve">smanjiti povjerenje javnosti; </w:t>
      </w:r>
    </w:p>
    <w:p w14:paraId="5E877041" w14:textId="77777777" w:rsidR="006A57C8" w:rsidRPr="00701A18" w:rsidRDefault="006A57C8" w:rsidP="003E6589">
      <w:pPr>
        <w:pStyle w:val="Odlomakpopisa"/>
        <w:numPr>
          <w:ilvl w:val="0"/>
          <w:numId w:val="10"/>
        </w:numPr>
        <w:spacing w:line="276" w:lineRule="auto"/>
        <w:ind w:left="714" w:hanging="357"/>
      </w:pPr>
      <w:r w:rsidRPr="00701A18">
        <w:t xml:space="preserve">uzrokovati financijske gubitke i štete; </w:t>
      </w:r>
    </w:p>
    <w:p w14:paraId="0CEA5026" w14:textId="77777777" w:rsidR="006A57C8" w:rsidRPr="00701A18" w:rsidRDefault="006A57C8" w:rsidP="003E6589">
      <w:pPr>
        <w:pStyle w:val="Odlomakpopisa"/>
        <w:numPr>
          <w:ilvl w:val="0"/>
          <w:numId w:val="10"/>
        </w:numPr>
        <w:spacing w:line="276" w:lineRule="auto"/>
        <w:ind w:left="714" w:hanging="357"/>
      </w:pPr>
      <w:r w:rsidRPr="00701A18">
        <w:t xml:space="preserve">rezultirati zlouporabom javnih sredstava, neovlaštenim korištenjem ili otuđenjem imovine </w:t>
      </w:r>
    </w:p>
    <w:p w14:paraId="14116FD0" w14:textId="77777777" w:rsidR="006A57C8" w:rsidRPr="00701A18" w:rsidRDefault="00CE74C7" w:rsidP="003E6589">
      <w:pPr>
        <w:spacing w:line="276" w:lineRule="auto"/>
      </w:pPr>
      <w:r w:rsidRPr="00701A18">
        <w:t>R</w:t>
      </w:r>
      <w:r w:rsidR="006A57C8" w:rsidRPr="00701A18">
        <w:t>izikom se smatraju i neiskorištene prilike ili mogućnosti za poboljšanje poslovanja</w:t>
      </w:r>
      <w:r w:rsidR="000E4FBA" w:rsidRPr="00701A18">
        <w:t>.</w:t>
      </w:r>
      <w:r w:rsidR="006A57C8" w:rsidRPr="00701A18">
        <w:t xml:space="preserve"> </w:t>
      </w:r>
    </w:p>
    <w:p w14:paraId="7BFB4644" w14:textId="77777777" w:rsidR="006A57C8" w:rsidRPr="00701A18" w:rsidRDefault="00CE74C7" w:rsidP="003E6589">
      <w:pPr>
        <w:spacing w:line="276" w:lineRule="auto"/>
        <w:rPr>
          <w:rFonts w:cs="Times New Roman"/>
        </w:rPr>
      </w:pPr>
      <w:r w:rsidRPr="00701A18">
        <w:rPr>
          <w:rFonts w:cs="Times New Roman"/>
        </w:rPr>
        <w:lastRenderedPageBreak/>
        <w:t>Krapinsko-zagorska ž</w:t>
      </w:r>
      <w:r w:rsidR="006A57C8" w:rsidRPr="00701A18">
        <w:rPr>
          <w:rFonts w:cs="Times New Roman"/>
        </w:rPr>
        <w:t xml:space="preserve">upanija se zalaže za učinkovito upravljanje rizicima koji prijete obavljanju njezinih funkcija ili ugrožavaju ostvarenje ciljeva. </w:t>
      </w:r>
    </w:p>
    <w:p w14:paraId="71C39862" w14:textId="77777777" w:rsidR="006A57C8" w:rsidRPr="00701A18" w:rsidRDefault="006A57C8" w:rsidP="003E6589">
      <w:pPr>
        <w:spacing w:line="276" w:lineRule="auto"/>
      </w:pPr>
      <w:r w:rsidRPr="00701A18">
        <w:t xml:space="preserve">Sve razine rukovodstva i svi zaposlenici uključeni su u proces upravljanja rizicima. </w:t>
      </w:r>
      <w:r w:rsidR="00CE74C7" w:rsidRPr="00701A18">
        <w:t>Tako će n</w:t>
      </w:r>
      <w:r w:rsidRPr="00701A18">
        <w:t>aj</w:t>
      </w:r>
      <w:r w:rsidR="00CE74C7" w:rsidRPr="00701A18">
        <w:t>viša razina rukovodstva utvrditi</w:t>
      </w:r>
      <w:r w:rsidRPr="00701A18">
        <w:t>, procijeniti i pratiti strateške rizike za instituciju i institucije iz nadležnosti</w:t>
      </w:r>
      <w:r w:rsidR="00CE74C7" w:rsidRPr="00701A18">
        <w:t>; r</w:t>
      </w:r>
      <w:r w:rsidRPr="00701A18">
        <w:t>ukovoditelji ustrojstvenih jedinica i rukovoditelji institucija iz nadležnosti utvrđuju, procjenjuju i prate operativne rizike iz njihove nadležnosti</w:t>
      </w:r>
      <w:r w:rsidR="00CE74C7" w:rsidRPr="00701A18">
        <w:t>. Također, u</w:t>
      </w:r>
      <w:r w:rsidRPr="00701A18">
        <w:t xml:space="preserve">činkovito upravljanje rizicima temeljit će se na komunikaciji „odozgo prema dolje“ i „odozdo prema gore“ </w:t>
      </w:r>
      <w:r w:rsidR="000E4FBA" w:rsidRPr="00701A18">
        <w:t>.</w:t>
      </w:r>
    </w:p>
    <w:p w14:paraId="31E79C9E" w14:textId="34BF92EF" w:rsidR="006A57C8" w:rsidRDefault="006A57C8" w:rsidP="002E0A1F">
      <w:pPr>
        <w:spacing w:line="276" w:lineRule="auto"/>
      </w:pPr>
      <w:r w:rsidRPr="002E0A1F">
        <w:t xml:space="preserve">Upravljanje rizicima razvijat će se u svrhu kvalitetnijeg i bržeg odlučivanja, povećanja učinkovitosti u korištenju sredstava i pružanju usluga građanima/zainteresiranim stranama, boljeg planiranja i optimiziranja raspoloživih sredstava, jačanja povjerenja u upravljački sustav. </w:t>
      </w:r>
    </w:p>
    <w:p w14:paraId="79CB4BE1" w14:textId="77777777" w:rsidR="002E0A1F" w:rsidRPr="002E0A1F" w:rsidRDefault="002E0A1F" w:rsidP="002E0A1F">
      <w:pPr>
        <w:spacing w:line="276" w:lineRule="auto"/>
      </w:pPr>
    </w:p>
    <w:p w14:paraId="18AA6F06" w14:textId="77777777" w:rsidR="006A57C8" w:rsidRPr="002E0A1F" w:rsidRDefault="006A57C8" w:rsidP="003E6589">
      <w:pPr>
        <w:pStyle w:val="Naslov1"/>
        <w:numPr>
          <w:ilvl w:val="0"/>
          <w:numId w:val="9"/>
        </w:numPr>
        <w:spacing w:line="276" w:lineRule="auto"/>
        <w:ind w:left="426" w:hanging="426"/>
      </w:pPr>
      <w:r w:rsidRPr="002E0A1F">
        <w:t xml:space="preserve"> STRATEŠKI I OPERATIVNI RIZICI </w:t>
      </w:r>
    </w:p>
    <w:p w14:paraId="75BC0445" w14:textId="77777777" w:rsidR="006A57C8" w:rsidRPr="002E0A1F" w:rsidRDefault="006A57C8" w:rsidP="003E6589">
      <w:pPr>
        <w:pStyle w:val="Default"/>
        <w:spacing w:line="276" w:lineRule="auto"/>
        <w:rPr>
          <w:color w:val="auto"/>
        </w:rPr>
      </w:pPr>
    </w:p>
    <w:p w14:paraId="48FCC8DF" w14:textId="77777777" w:rsidR="006A57C8" w:rsidRPr="002E0A1F" w:rsidRDefault="006A57C8" w:rsidP="003E6589">
      <w:pPr>
        <w:spacing w:line="276" w:lineRule="auto"/>
      </w:pPr>
      <w:r w:rsidRPr="002E0A1F">
        <w:t xml:space="preserve">Za potrebe upravljanja rizicima rizici </w:t>
      </w:r>
      <w:r w:rsidR="005E345C" w:rsidRPr="002E0A1F">
        <w:t xml:space="preserve">se </w:t>
      </w:r>
      <w:r w:rsidRPr="002E0A1F">
        <w:t xml:space="preserve">kategoriziraju na </w:t>
      </w:r>
      <w:r w:rsidRPr="002E0A1F">
        <w:rPr>
          <w:b/>
          <w:bCs/>
        </w:rPr>
        <w:t>strateške i operativne rizike</w:t>
      </w:r>
      <w:r w:rsidRPr="002E0A1F">
        <w:t xml:space="preserve">.   </w:t>
      </w:r>
    </w:p>
    <w:p w14:paraId="24B2EBF4" w14:textId="77777777" w:rsidR="006A57C8" w:rsidRPr="002E0A1F" w:rsidRDefault="006A57C8" w:rsidP="003E6589">
      <w:pPr>
        <w:spacing w:line="276" w:lineRule="auto"/>
      </w:pPr>
      <w:r w:rsidRPr="002E0A1F">
        <w:rPr>
          <w:b/>
          <w:bCs/>
        </w:rPr>
        <w:t xml:space="preserve">Strateški rizici </w:t>
      </w:r>
      <w:r w:rsidRPr="002E0A1F">
        <w:t xml:space="preserve">su neželjeni događaji koji mogu nepovoljno utjecati na ostvarenje dugoročnih i srednjoročnih ciljeva, strateških prioriteta institucije, nacionalnih i/ili regionalnih/lokalnih prioriteta, prioriteta određenih javnih funkcija ili resora. Strateški rizici usmjereni su na šire interesne skupine, građane, krajnje korisnike usluga i slično. </w:t>
      </w:r>
    </w:p>
    <w:p w14:paraId="7F12BA6A" w14:textId="77777777" w:rsidR="00FE6104" w:rsidRPr="002E0A1F" w:rsidRDefault="006A57C8" w:rsidP="003E6589">
      <w:pPr>
        <w:spacing w:line="276" w:lineRule="auto"/>
      </w:pPr>
      <w:r w:rsidRPr="002E0A1F">
        <w:rPr>
          <w:b/>
          <w:bCs/>
        </w:rPr>
        <w:t xml:space="preserve">Upravljanje strateškim rizicima </w:t>
      </w:r>
      <w:r w:rsidRPr="002E0A1F">
        <w:t xml:space="preserve">odgovornost je odgovorne osobe institucije koja za potrebe upravljanja strateškim rizicima treba usko surađivati s najvišom razinom rukovodstva u instituciji i institucijama iz nadležnosti. Upravljanje strateškim rizicima treba razvijati kao sastavni dio procesa strateškog planiranja i donošenja ključnih odluka na najvišoj rukovodećoj razini. </w:t>
      </w:r>
    </w:p>
    <w:p w14:paraId="0C867F5A" w14:textId="77777777" w:rsidR="00FE6104" w:rsidRPr="002E0A1F" w:rsidRDefault="00FE6104" w:rsidP="003E6589">
      <w:pPr>
        <w:spacing w:line="276" w:lineRule="auto"/>
      </w:pPr>
      <w:r w:rsidRPr="002E0A1F">
        <w:rPr>
          <w:b/>
          <w:bCs/>
        </w:rPr>
        <w:t xml:space="preserve">Operativni rizici </w:t>
      </w:r>
      <w:r w:rsidRPr="002E0A1F">
        <w:t xml:space="preserve">su neželjeni događaji koji mogu nepovoljno utjecati na provedbu funkcija, aktivnosti i procesa u zadanim rokovima, na razinu kvalitete usluge, na propuste u primjeni zakona i procedura. Potrebno je voditi računa da kumulativni učinci operativnih rizika mogu utjecati i ugroziti i realizaciju nekih strateških ciljeva i na taj način operativni rizici mogu uzrokovati i strateške rizike. </w:t>
      </w:r>
    </w:p>
    <w:p w14:paraId="1ED06981" w14:textId="3C0E4E8C" w:rsidR="00FE6104" w:rsidRPr="002E0A1F" w:rsidRDefault="00D23AE1" w:rsidP="003E6589">
      <w:pPr>
        <w:spacing w:line="276" w:lineRule="auto"/>
      </w:pPr>
      <w:r w:rsidRPr="002E0A1F">
        <w:rPr>
          <w:b/>
          <w:bCs/>
        </w:rPr>
        <w:t>Upravljanje</w:t>
      </w:r>
      <w:r w:rsidR="00FE6104" w:rsidRPr="002E0A1F">
        <w:rPr>
          <w:b/>
          <w:bCs/>
        </w:rPr>
        <w:t xml:space="preserve"> operativnim rizicima </w:t>
      </w:r>
      <w:r w:rsidR="00FE6104" w:rsidRPr="002E0A1F">
        <w:t xml:space="preserve">odgovornost je rukovoditelja odgovornih za procese/aktivnosti odnosno rukovoditelja ustrojstvenih jedinica unutar kojih se ti procesi/aktivnosti provode. </w:t>
      </w:r>
    </w:p>
    <w:p w14:paraId="3C6C2A1E" w14:textId="77777777" w:rsidR="00FB3755" w:rsidRPr="002E0A1F" w:rsidRDefault="00FB3755" w:rsidP="003E6589">
      <w:pPr>
        <w:spacing w:line="276" w:lineRule="auto"/>
      </w:pPr>
      <w:r w:rsidRPr="002E0A1F">
        <w:t xml:space="preserve">Unatoč podjeli rizika na strateške i operativne, potrebno je voditi računa da su strateški i operativni rizici međusobno povezani i da se niti jedna kategorija rizika ne može razmatrati izolirano. </w:t>
      </w:r>
    </w:p>
    <w:p w14:paraId="1C9899D7" w14:textId="77777777" w:rsidR="00FB3755" w:rsidRPr="00701A18" w:rsidRDefault="00FB3755" w:rsidP="003E6589">
      <w:pPr>
        <w:spacing w:line="276" w:lineRule="auto"/>
        <w:rPr>
          <w:color w:val="FF0000"/>
        </w:rPr>
      </w:pPr>
      <w:r w:rsidRPr="002E0A1F">
        <w:t xml:space="preserve">Povezanost strateških i operativnih rizika proizlazi iz razloga što operativni rizici mogu uzrokovati ili biti posljedica strateških rizika i obrnuto.  O uzročno - posljedičnim vezama i </w:t>
      </w:r>
      <w:r w:rsidRPr="002E0A1F">
        <w:lastRenderedPageBreak/>
        <w:t xml:space="preserve">korelacijama između strateških i operativnih rizika potrebno je voditi računa u svim fazama upravljanja rizicima. </w:t>
      </w:r>
    </w:p>
    <w:p w14:paraId="255297E3" w14:textId="77777777" w:rsidR="00FB3755" w:rsidRPr="00701A18" w:rsidRDefault="00FB3755" w:rsidP="003E6589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6C999D94" w14:textId="77777777" w:rsidR="00FB3755" w:rsidRPr="00701A18" w:rsidRDefault="00FB3755" w:rsidP="003E6589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5C3F26DB" w14:textId="77777777" w:rsidR="006A57C8" w:rsidRPr="002E0A1F" w:rsidRDefault="006A57C8" w:rsidP="003E6589">
      <w:pPr>
        <w:pStyle w:val="Naslov1"/>
        <w:numPr>
          <w:ilvl w:val="0"/>
          <w:numId w:val="9"/>
        </w:numPr>
        <w:spacing w:line="276" w:lineRule="auto"/>
        <w:ind w:left="426" w:hanging="426"/>
      </w:pPr>
      <w:r w:rsidRPr="002E0A1F">
        <w:t xml:space="preserve"> CIKLUS UPRAVLJANJA RIZICIMA </w:t>
      </w:r>
    </w:p>
    <w:p w14:paraId="7DC29591" w14:textId="77777777" w:rsidR="006A57C8" w:rsidRPr="002E0A1F" w:rsidRDefault="006A57C8" w:rsidP="003E65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CF0DF1A" w14:textId="77777777" w:rsidR="006A57C8" w:rsidRPr="002E0A1F" w:rsidRDefault="00FB3755" w:rsidP="003E6589">
      <w:pPr>
        <w:spacing w:line="276" w:lineRule="auto"/>
      </w:pPr>
      <w:r w:rsidRPr="002E0A1F">
        <w:t>Č</w:t>
      </w:r>
      <w:r w:rsidR="006A57C8" w:rsidRPr="002E0A1F">
        <w:t xml:space="preserve">etiri osnovne faze u procesu upravljanja rizicima </w:t>
      </w:r>
      <w:r w:rsidRPr="002E0A1F">
        <w:t xml:space="preserve">su: </w:t>
      </w:r>
      <w:r w:rsidR="00CE74C7" w:rsidRPr="002E0A1F">
        <w:t>f</w:t>
      </w:r>
      <w:r w:rsidRPr="002E0A1F">
        <w:t>aza utvrđivanja rizika, faza procjene rizika, faza postupanja po rizicima te faza praćenja i izvještavanja po rizicima.</w:t>
      </w:r>
    </w:p>
    <w:p w14:paraId="2FABB300" w14:textId="77777777" w:rsidR="00FB3755" w:rsidRPr="002E0A1F" w:rsidRDefault="00FB3755" w:rsidP="003E65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8FED692" w14:textId="77777777" w:rsidR="00E536D0" w:rsidRPr="002E0A1F" w:rsidRDefault="00CC4857" w:rsidP="003E6589">
      <w:pPr>
        <w:spacing w:line="276" w:lineRule="auto"/>
      </w:pPr>
      <w:r w:rsidRPr="002E0A1F">
        <w:rPr>
          <w:b/>
          <w:u w:val="single"/>
        </w:rPr>
        <w:t>U fazi utvrđivanja rizika</w:t>
      </w:r>
      <w:r w:rsidRPr="002E0A1F">
        <w:t xml:space="preserve"> detaljnije se pojašnjavaju pristup i metode utvrđivanja rizika te opis rizika.  Dva su osnovna pristupa koja se mogu koristiti za utvrđivanje rizika: </w:t>
      </w:r>
      <w:r w:rsidRPr="002E0A1F">
        <w:rPr>
          <w:b/>
        </w:rPr>
        <w:t>pristup „odozgo prema dolje“</w:t>
      </w:r>
      <w:r w:rsidRPr="002E0A1F">
        <w:t xml:space="preserve"> (za utvrđivanje strateških rizika, odnosno rizika vezanih uz realizaciju strateških ciljeva, prioriteta u poslovanju, ključnih programa, kapitalnih investicijskih projekata i slično) i </w:t>
      </w:r>
      <w:r w:rsidRPr="002E0A1F">
        <w:rPr>
          <w:b/>
        </w:rPr>
        <w:t>pristup „odozdo prema gore“</w:t>
      </w:r>
      <w:r w:rsidRPr="002E0A1F">
        <w:t xml:space="preserve"> (za utvrđivanje operativnih rizika, odnosno rizika vezanih uz poslovne procese, funkcije, projekte, aktivnosti) koji su međusobno komplementarni i cjelovito utvrđivanje rizika zahtijeva kombinaciju oba pristupa. </w:t>
      </w:r>
    </w:p>
    <w:p w14:paraId="137A9B7F" w14:textId="77777777" w:rsidR="00CC4857" w:rsidRPr="002E0A1F" w:rsidRDefault="00E536D0" w:rsidP="003E6589">
      <w:pPr>
        <w:spacing w:line="276" w:lineRule="auto"/>
      </w:pPr>
      <w:r w:rsidRPr="002E0A1F">
        <w:t>N</w:t>
      </w:r>
      <w:r w:rsidR="00CC4857" w:rsidRPr="002E0A1F">
        <w:t xml:space="preserve">ajviša razina rukovodstva treba biti informirana o operativnim rizicima koji mogu utjecati na realizaciju strateških ciljeva i prioriteta odnosno čiji kumulativni učinci mogu uzrokovati strateške rizike i/ili utjecati na njihov veći učinak. </w:t>
      </w:r>
    </w:p>
    <w:p w14:paraId="61AC25A9" w14:textId="77777777" w:rsidR="00CC4857" w:rsidRPr="002E0A1F" w:rsidRDefault="00CC4857" w:rsidP="003E6589">
      <w:pPr>
        <w:spacing w:line="276" w:lineRule="auto"/>
      </w:pPr>
      <w:r w:rsidRPr="002E0A1F">
        <w:t xml:space="preserve">Rukovoditelji unutarnjih ustrojstvenih jedinica trebaju biti informirani o strateškim rizicima institucije kako bi mogli prepoznati i procijeniti u kojoj su mjeri operativni rizici iz njihove nadležnosti povezani i/ili međusobno uvjetovani strateškim rizicima institucije. </w:t>
      </w:r>
    </w:p>
    <w:p w14:paraId="242DAC06" w14:textId="77777777" w:rsidR="00CC4857" w:rsidRPr="002E0A1F" w:rsidRDefault="00CC4857" w:rsidP="003E6589">
      <w:pPr>
        <w:spacing w:line="276" w:lineRule="auto"/>
      </w:pPr>
      <w:r w:rsidRPr="002E0A1F">
        <w:t>Za utvrđivanje rizika najčešće se koriste metode analize podataka/informacija iz planskih dokumenata, izvještaja, regulative, zatim upitnici za utvrđivanje rizika t</w:t>
      </w:r>
      <w:r w:rsidR="00E536D0" w:rsidRPr="002E0A1F">
        <w:t>e zajednički sastanci/radionice.</w:t>
      </w:r>
    </w:p>
    <w:p w14:paraId="072D1DAD" w14:textId="77777777" w:rsidR="00CC4857" w:rsidRPr="002E0A1F" w:rsidRDefault="00CC4857" w:rsidP="003E6589">
      <w:pPr>
        <w:spacing w:line="276" w:lineRule="auto"/>
      </w:pPr>
      <w:r w:rsidRPr="002E0A1F">
        <w:t xml:space="preserve">Utvrđene rizike potrebno je opisati na način da opis rizika obavezno sadrži informacije o uzrocima rizika i posljedicama rizika. Opis rizika predstavlja završetak faze utvrđivanja rizika i početak faze procjene rizika. </w:t>
      </w:r>
    </w:p>
    <w:p w14:paraId="68D831DD" w14:textId="77777777" w:rsidR="00CC4857" w:rsidRPr="002E0A1F" w:rsidRDefault="00CC4857" w:rsidP="003E6589">
      <w:pPr>
        <w:spacing w:line="276" w:lineRule="auto"/>
        <w:rPr>
          <w:i/>
          <w:iCs/>
        </w:rPr>
      </w:pPr>
      <w:r w:rsidRPr="002E0A1F">
        <w:t xml:space="preserve">Detaljnije informacije o uzrocima i posljedicama rizika omogućit će kvalitetniju i objektivniju procjenu rizika, kao i utvrđivanje mjera za ublažavanje rizika. </w:t>
      </w:r>
    </w:p>
    <w:p w14:paraId="48FDD815" w14:textId="77777777" w:rsidR="00CC4857" w:rsidRPr="002E0A1F" w:rsidRDefault="00CC4857" w:rsidP="003E6589">
      <w:pPr>
        <w:spacing w:line="276" w:lineRule="auto"/>
      </w:pPr>
      <w:r w:rsidRPr="002E0A1F">
        <w:rPr>
          <w:b/>
          <w:iCs/>
          <w:u w:val="single"/>
        </w:rPr>
        <w:t xml:space="preserve">Faza procjene rizika </w:t>
      </w:r>
      <w:r w:rsidRPr="002E0A1F">
        <w:t xml:space="preserve">uključuje </w:t>
      </w:r>
      <w:r w:rsidRPr="002E0A1F">
        <w:rPr>
          <w:u w:val="single"/>
        </w:rPr>
        <w:t>procjenu učinka i vjerojatnosti nastanka rizika</w:t>
      </w:r>
      <w:r w:rsidRPr="002E0A1F">
        <w:t xml:space="preserve">. Rizike treba procijeniti kako bi se mogli rangirati, utvrditi prioritetni rizici te osigurati informacije za donošenje odluka o postupanju s rizicima. </w:t>
      </w:r>
    </w:p>
    <w:p w14:paraId="4D576D94" w14:textId="77777777" w:rsidR="00255C3D" w:rsidRPr="002E0A1F" w:rsidRDefault="00CC4857" w:rsidP="003E6589">
      <w:pPr>
        <w:spacing w:line="276" w:lineRule="auto"/>
      </w:pPr>
      <w:r w:rsidRPr="002E0A1F">
        <w:t>Polazna osnova za procjenu rizika je kvalitetan opis rizika, s utvrđenim uzrocima i posljedicama rizika, dopunjeno s dodatnim informacijama u obliku analiza faktora rizičnosti i pokazatelja rizika</w:t>
      </w:r>
      <w:r w:rsidRPr="002E0A1F">
        <w:rPr>
          <w:sz w:val="14"/>
          <w:szCs w:val="14"/>
        </w:rPr>
        <w:t xml:space="preserve">. </w:t>
      </w:r>
      <w:r w:rsidRPr="002E0A1F">
        <w:t xml:space="preserve">Faktori rizičnosti uključuju događaje, okolnosti, trendove, karakteristike vezane za instituciju, njeno poslovanje i okruženje koji ne moraju nužno biti u izravnoj uzročno-posljedičnoj vezi s rizicima, ali kroz korelacijske odnose mogu povećati vjerojatnost nastanka </w:t>
      </w:r>
      <w:r w:rsidRPr="002E0A1F">
        <w:lastRenderedPageBreak/>
        <w:t>i učinka rizika. Pokazateljima rizika mogu se smatrati detalji koji ukazuju odnosno upozoravaju da su određene situacije rizične</w:t>
      </w:r>
      <w:r w:rsidR="00255C3D" w:rsidRPr="002E0A1F">
        <w:t xml:space="preserve">. </w:t>
      </w:r>
    </w:p>
    <w:p w14:paraId="2E139957" w14:textId="77777777" w:rsidR="00255C3D" w:rsidRPr="002E0A1F" w:rsidRDefault="00255C3D" w:rsidP="003E6589">
      <w:pPr>
        <w:spacing w:line="276" w:lineRule="auto"/>
      </w:pPr>
      <w:r w:rsidRPr="002E0A1F">
        <w:t xml:space="preserve">Utvrđene faktore rizičnosti potrebno je razmatrati u zavisnosti jedan od drugoga, jer više faktora rizičnosti i pokazatelja rizika može u konačnici rezultirati značajnim učinkom i/ili velikom vjerojatnosti da će se rizik ostvariti. Analizom određenih faktora rizika osigurava se također i objektivnija podloga za procjenu financijskih učinaka, odnosno iskazivanje učinaka rizika u financijskim iznosima. </w:t>
      </w:r>
    </w:p>
    <w:p w14:paraId="40EE5886" w14:textId="77777777" w:rsidR="00255C3D" w:rsidRPr="002E0A1F" w:rsidRDefault="00255C3D" w:rsidP="003E6589">
      <w:pPr>
        <w:spacing w:line="276" w:lineRule="auto"/>
        <w:rPr>
          <w:sz w:val="22"/>
        </w:rPr>
      </w:pPr>
      <w:r w:rsidRPr="002E0A1F">
        <w:t>Faktori rizičnosti mogu se koristiti i za izradu tzv. „</w:t>
      </w:r>
      <w:proofErr w:type="spellStart"/>
      <w:r w:rsidRPr="002E0A1F">
        <w:t>scenario</w:t>
      </w:r>
      <w:proofErr w:type="spellEnd"/>
      <w:r w:rsidRPr="002E0A1F">
        <w:t xml:space="preserve"> analiza“ u okviru kojih se temeljem određenih događaja i okolnosti za koje se procjenjuje da mogu nastupiti, radi analiza njihovih mogućih učinaka. </w:t>
      </w:r>
    </w:p>
    <w:p w14:paraId="12C6F62F" w14:textId="77777777" w:rsidR="00255C3D" w:rsidRPr="002E0A1F" w:rsidRDefault="00255C3D" w:rsidP="003E6589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Cs w:val="24"/>
        </w:rPr>
      </w:pPr>
      <w:r w:rsidRPr="002E0A1F">
        <w:rPr>
          <w:rFonts w:ascii="TimesNewRomanPSMT" w:hAnsi="TimesNewRomanPSMT" w:cs="TimesNewRomanPSMT"/>
          <w:szCs w:val="24"/>
        </w:rPr>
        <w:t>Procjena učinka rizika i procjena vjerojatnosti pojave rizika, odnosno ukupna izloženost riziku dobiva se pomoću matrice 3x3, odnosno umnoškom bodova za učinak s bodovima za vjerojatnost. Rizik s najvećim učinkom i najvećom vjerojatnošću (svaki s najvećom ocjenom tri) može procijeniti s najviše devet bodova.</w:t>
      </w:r>
      <w:r w:rsidRPr="002E0A1F">
        <w:t xml:space="preserve"> </w:t>
      </w:r>
      <w:r w:rsidRPr="002E0A1F">
        <w:rPr>
          <w:rFonts w:ascii="TimesNewRomanPSMT" w:hAnsi="TimesNewRomanPSMT" w:cs="TimesNewRomanPSMT"/>
          <w:szCs w:val="24"/>
        </w:rPr>
        <w:t xml:space="preserve">Ukupna izloženost riziku može biti niska (ocjena 1, 2), srednja (ocjena 3, 4) i visoka (ocjena 6, 9). Rezultati procjene se zatim evidentiraju u registar rizika. </w:t>
      </w:r>
    </w:p>
    <w:p w14:paraId="75DF12F5" w14:textId="77777777" w:rsidR="00255C3D" w:rsidRPr="002E0A1F" w:rsidRDefault="00255C3D" w:rsidP="003E6589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Cs w:val="24"/>
        </w:rPr>
      </w:pPr>
    </w:p>
    <w:p w14:paraId="09E72F74" w14:textId="77777777" w:rsidR="00255C3D" w:rsidRPr="002E0A1F" w:rsidRDefault="00255C3D" w:rsidP="003E6589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Cs w:val="24"/>
        </w:rPr>
      </w:pPr>
      <w:r w:rsidRPr="002E0A1F">
        <w:rPr>
          <w:rFonts w:ascii="TimesNewRomanPSMT" w:hAnsi="TimesNewRomanPSMT" w:cs="TimesNewRomanPSMT"/>
          <w:szCs w:val="24"/>
        </w:rPr>
        <w:t>Matrica rizika 3x3 prikazana je na slici.</w:t>
      </w:r>
    </w:p>
    <w:p w14:paraId="05141EBB" w14:textId="77777777" w:rsidR="00255C3D" w:rsidRPr="002E0A1F" w:rsidRDefault="00255C3D" w:rsidP="003E6589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Cs w:val="24"/>
        </w:rPr>
      </w:pPr>
    </w:p>
    <w:p w14:paraId="6FEB9824" w14:textId="77777777" w:rsidR="00255C3D" w:rsidRPr="002E0A1F" w:rsidRDefault="00255C3D" w:rsidP="003E6589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300"/>
        <w:gridCol w:w="1382"/>
        <w:gridCol w:w="1382"/>
        <w:gridCol w:w="1382"/>
      </w:tblGrid>
      <w:tr w:rsidR="002E0A1F" w:rsidRPr="002E0A1F" w14:paraId="6CABF1E2" w14:textId="77777777" w:rsidTr="00255C3D">
        <w:trPr>
          <w:trHeight w:val="646"/>
          <w:jc w:val="center"/>
        </w:trPr>
        <w:tc>
          <w:tcPr>
            <w:tcW w:w="1129" w:type="dxa"/>
            <w:vMerge w:val="restart"/>
            <w:shd w:val="clear" w:color="auto" w:fill="FFF2CC" w:themeFill="accent4" w:themeFillTint="33"/>
            <w:textDirection w:val="btLr"/>
          </w:tcPr>
          <w:p w14:paraId="3C387D5D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Vjerojatnost</w:t>
            </w:r>
          </w:p>
        </w:tc>
        <w:tc>
          <w:tcPr>
            <w:tcW w:w="1300" w:type="dxa"/>
            <w:shd w:val="clear" w:color="auto" w:fill="E4E4E4"/>
          </w:tcPr>
          <w:p w14:paraId="5E2E1BFF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visoka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FFFFB7"/>
          </w:tcPr>
          <w:p w14:paraId="29F4DCDB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3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31C98185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6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1A7A9B7E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9</w:t>
            </w:r>
          </w:p>
        </w:tc>
      </w:tr>
      <w:tr w:rsidR="002E0A1F" w:rsidRPr="002E0A1F" w14:paraId="0B8366E8" w14:textId="77777777" w:rsidTr="00255C3D">
        <w:trPr>
          <w:trHeight w:val="671"/>
          <w:jc w:val="center"/>
        </w:trPr>
        <w:tc>
          <w:tcPr>
            <w:tcW w:w="1129" w:type="dxa"/>
            <w:vMerge/>
            <w:shd w:val="clear" w:color="auto" w:fill="FFF2CC" w:themeFill="accent4" w:themeFillTint="33"/>
          </w:tcPr>
          <w:p w14:paraId="1B6B6563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</w:p>
        </w:tc>
        <w:tc>
          <w:tcPr>
            <w:tcW w:w="1300" w:type="dxa"/>
            <w:shd w:val="clear" w:color="auto" w:fill="E4E4E4"/>
          </w:tcPr>
          <w:p w14:paraId="021D4B3B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srednja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14:paraId="38DBB5C1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FFFFB7"/>
          </w:tcPr>
          <w:p w14:paraId="5FD8841B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4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1050EC3C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6</w:t>
            </w:r>
          </w:p>
        </w:tc>
      </w:tr>
      <w:tr w:rsidR="002E0A1F" w:rsidRPr="002E0A1F" w14:paraId="43F186B2" w14:textId="77777777" w:rsidTr="00255C3D">
        <w:trPr>
          <w:trHeight w:val="646"/>
          <w:jc w:val="center"/>
        </w:trPr>
        <w:tc>
          <w:tcPr>
            <w:tcW w:w="1129" w:type="dxa"/>
            <w:vMerge/>
            <w:shd w:val="clear" w:color="auto" w:fill="FFF2CC" w:themeFill="accent4" w:themeFillTint="33"/>
          </w:tcPr>
          <w:p w14:paraId="4B0F9318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</w:p>
        </w:tc>
        <w:tc>
          <w:tcPr>
            <w:tcW w:w="1300" w:type="dxa"/>
            <w:shd w:val="clear" w:color="auto" w:fill="E4E4E4"/>
          </w:tcPr>
          <w:p w14:paraId="2F8ADE21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niska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14:paraId="7D786CBB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</w:tcPr>
          <w:p w14:paraId="0FF02C7C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FFFFB7"/>
          </w:tcPr>
          <w:p w14:paraId="0BE74FEA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3</w:t>
            </w:r>
          </w:p>
        </w:tc>
      </w:tr>
      <w:tr w:rsidR="002E0A1F" w:rsidRPr="002E0A1F" w14:paraId="6AA33C99" w14:textId="77777777" w:rsidTr="00255C3D">
        <w:trPr>
          <w:trHeight w:val="671"/>
          <w:jc w:val="center"/>
        </w:trPr>
        <w:tc>
          <w:tcPr>
            <w:tcW w:w="1129" w:type="dxa"/>
            <w:vMerge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3C92778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14:paraId="76FBE109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E4E4"/>
          </w:tcPr>
          <w:p w14:paraId="37F50A2F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malen</w:t>
            </w:r>
          </w:p>
        </w:tc>
        <w:tc>
          <w:tcPr>
            <w:tcW w:w="13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E4E4"/>
          </w:tcPr>
          <w:p w14:paraId="4E9486EA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srednji</w:t>
            </w:r>
          </w:p>
        </w:tc>
        <w:tc>
          <w:tcPr>
            <w:tcW w:w="138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4E4E4"/>
          </w:tcPr>
          <w:p w14:paraId="330890AE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velik</w:t>
            </w:r>
          </w:p>
        </w:tc>
      </w:tr>
      <w:tr w:rsidR="002E0A1F" w:rsidRPr="002E0A1F" w14:paraId="1584551A" w14:textId="77777777" w:rsidTr="00255C3D">
        <w:trPr>
          <w:trHeight w:val="439"/>
          <w:jc w:val="center"/>
        </w:trPr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58AE2C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</w:p>
        </w:tc>
        <w:tc>
          <w:tcPr>
            <w:tcW w:w="1300" w:type="dxa"/>
            <w:tcBorders>
              <w:left w:val="nil"/>
              <w:bottom w:val="nil"/>
            </w:tcBorders>
          </w:tcPr>
          <w:p w14:paraId="4C1E99BD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DEEAF6" w:themeFill="accent1" w:themeFillTint="33"/>
          </w:tcPr>
          <w:p w14:paraId="4CFCB3A3" w14:textId="77777777" w:rsidR="00255C3D" w:rsidRPr="002E0A1F" w:rsidRDefault="00255C3D" w:rsidP="003E65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2E0A1F">
              <w:rPr>
                <w:rFonts w:ascii="TimesNewRomanPSMT" w:hAnsi="TimesNewRomanPSMT" w:cs="TimesNewRomanPSMT"/>
                <w:b/>
                <w:szCs w:val="24"/>
              </w:rPr>
              <w:t>Učinak</w:t>
            </w:r>
          </w:p>
        </w:tc>
      </w:tr>
    </w:tbl>
    <w:p w14:paraId="10C1749B" w14:textId="77777777" w:rsidR="002E7352" w:rsidRPr="002E0A1F" w:rsidRDefault="002E7352" w:rsidP="003E6589">
      <w:pPr>
        <w:spacing w:line="276" w:lineRule="auto"/>
        <w:rPr>
          <w:rFonts w:ascii="TimesNewRomanPSMT" w:hAnsi="TimesNewRomanPSMT" w:cs="TimesNewRomanPSMT"/>
          <w:szCs w:val="24"/>
        </w:rPr>
      </w:pPr>
    </w:p>
    <w:p w14:paraId="68A30D96" w14:textId="77777777" w:rsidR="002E7352" w:rsidRPr="002E0A1F" w:rsidRDefault="002E7352" w:rsidP="003E6589">
      <w:pPr>
        <w:spacing w:line="276" w:lineRule="auto"/>
        <w:rPr>
          <w:rFonts w:ascii="TimesNewRomanPSMT" w:hAnsi="TimesNewRomanPSMT" w:cs="TimesNewRomanPSMT"/>
          <w:szCs w:val="24"/>
        </w:rPr>
      </w:pPr>
      <w:r w:rsidRPr="002E0A1F">
        <w:rPr>
          <w:rFonts w:ascii="TimesNewRomanPSMT" w:hAnsi="TimesNewRomanPSMT" w:cs="TimesNewRomanPSMT"/>
          <w:szCs w:val="24"/>
        </w:rPr>
        <w:t xml:space="preserve">Utvrđivanje i procjena rizika evidentira se na posebnom obrascu (Prilog 1. Obrazac za utvrđivanje i procjenu rizika). </w:t>
      </w:r>
    </w:p>
    <w:p w14:paraId="524D24EF" w14:textId="77777777" w:rsidR="002E7352" w:rsidRPr="002E0A1F" w:rsidRDefault="002E7352" w:rsidP="003E6589">
      <w:pPr>
        <w:spacing w:line="276" w:lineRule="auto"/>
      </w:pPr>
    </w:p>
    <w:p w14:paraId="748EBECF" w14:textId="77777777" w:rsidR="00255C3D" w:rsidRPr="002E0A1F" w:rsidRDefault="00255C3D" w:rsidP="003E6589">
      <w:pPr>
        <w:spacing w:line="276" w:lineRule="auto"/>
      </w:pPr>
      <w:r w:rsidRPr="002E0A1F">
        <w:t xml:space="preserve">Mjere koje će se poduzeti u vezi </w:t>
      </w:r>
      <w:r w:rsidRPr="002E0A1F">
        <w:rPr>
          <w:b/>
          <w:u w:val="single"/>
        </w:rPr>
        <w:t>postupanja po rizicima</w:t>
      </w:r>
      <w:r w:rsidRPr="002E0A1F">
        <w:t xml:space="preserve"> prvenstveno ovise o vrsti i utvrđenim uzrocima rizika. </w:t>
      </w:r>
    </w:p>
    <w:p w14:paraId="233B112C" w14:textId="77777777" w:rsidR="007F5344" w:rsidRPr="002E0A1F" w:rsidRDefault="00255C3D" w:rsidP="003E6589">
      <w:pPr>
        <w:spacing w:line="276" w:lineRule="auto"/>
      </w:pPr>
      <w:r w:rsidRPr="002E0A1F">
        <w:t>Mjere za rješavanje ili ublažavanje strateških rizika zahtijevaju odluke na razini strategija, politika, izmjene i dopune zakonodavnog okvira i/ili institucionalnog</w:t>
      </w:r>
      <w:r w:rsidR="00747607" w:rsidRPr="002E0A1F">
        <w:t>.</w:t>
      </w:r>
      <w:r w:rsidRPr="002E0A1F">
        <w:t xml:space="preserve"> Mjere za rješavanje ili ublažavanje operativnih rizika najčešće zahtijevaju dopune i izmjene operativnih pravila i procedura, jačanje kontrolnih postupaka, unapređenja poslovnih sustava, aktivnosti i procesa. </w:t>
      </w:r>
    </w:p>
    <w:p w14:paraId="2C0E9622" w14:textId="77777777" w:rsidR="00255C3D" w:rsidRPr="002E0A1F" w:rsidRDefault="00255C3D" w:rsidP="003E6589">
      <w:pPr>
        <w:spacing w:line="276" w:lineRule="auto"/>
      </w:pPr>
      <w:r w:rsidRPr="002E0A1F">
        <w:lastRenderedPageBreak/>
        <w:t xml:space="preserve">Uobičajeno se koriste četiri načina postupanja po rizicima: </w:t>
      </w:r>
    </w:p>
    <w:p w14:paraId="46A26553" w14:textId="77777777" w:rsidR="00255C3D" w:rsidRPr="002E0A1F" w:rsidRDefault="00255C3D" w:rsidP="003E6589">
      <w:pPr>
        <w:pStyle w:val="Odlomakpopisa"/>
        <w:numPr>
          <w:ilvl w:val="0"/>
          <w:numId w:val="12"/>
        </w:numPr>
        <w:spacing w:line="276" w:lineRule="auto"/>
      </w:pPr>
      <w:r w:rsidRPr="002E0A1F">
        <w:rPr>
          <w:i/>
        </w:rPr>
        <w:t>Smanjivanje/ublažavanje rizika</w:t>
      </w:r>
      <w:r w:rsidRPr="002E0A1F">
        <w:t xml:space="preserve"> </w:t>
      </w:r>
      <w:r w:rsidR="007F5344" w:rsidRPr="002E0A1F">
        <w:t>(poduzimanje mjera kako bi se smanjila vjerojatnost nastanka i/ili učinak rizika. Mjere koje institucija poduzima uključuju primjenu elemenata sustava unutarnjih kontrola u cilju stavljanja rizika pod kontrolu i nastavka obavljanja aktivnosti bez ugrožavanja ostvarenja cilja)</w:t>
      </w:r>
    </w:p>
    <w:p w14:paraId="5F160C39" w14:textId="77777777" w:rsidR="00255C3D" w:rsidRPr="002E0A1F" w:rsidRDefault="00255C3D" w:rsidP="003E6589">
      <w:pPr>
        <w:pStyle w:val="Odlomakpopisa"/>
        <w:numPr>
          <w:ilvl w:val="0"/>
          <w:numId w:val="12"/>
        </w:numPr>
        <w:spacing w:line="276" w:lineRule="auto"/>
      </w:pPr>
      <w:r w:rsidRPr="002E0A1F">
        <w:rPr>
          <w:i/>
        </w:rPr>
        <w:t>Prenošenje rizika</w:t>
      </w:r>
      <w:r w:rsidRPr="002E0A1F">
        <w:t xml:space="preserve"> </w:t>
      </w:r>
      <w:r w:rsidR="007F5344" w:rsidRPr="002E0A1F">
        <w:t>(prijenos rizika trećoj strani ili dijeljenje rizika s trećom stranom)</w:t>
      </w:r>
    </w:p>
    <w:p w14:paraId="6BDFD633" w14:textId="77777777" w:rsidR="00255C3D" w:rsidRPr="002E0A1F" w:rsidRDefault="00255C3D" w:rsidP="003E6589">
      <w:pPr>
        <w:pStyle w:val="Odlomakpopisa"/>
        <w:numPr>
          <w:ilvl w:val="0"/>
          <w:numId w:val="12"/>
        </w:numPr>
        <w:spacing w:line="276" w:lineRule="auto"/>
      </w:pPr>
      <w:r w:rsidRPr="002E0A1F">
        <w:rPr>
          <w:i/>
        </w:rPr>
        <w:t>Prihvaćanje rizika</w:t>
      </w:r>
      <w:r w:rsidRPr="002E0A1F">
        <w:t xml:space="preserve"> </w:t>
      </w:r>
      <w:r w:rsidR="007F5344" w:rsidRPr="002E0A1F">
        <w:t xml:space="preserve">(kada su mogućnosti za sprječavanje ili izbjegavanje rizika ograničene ili troškovi poduzimanja mjera mogu biti </w:t>
      </w:r>
      <w:proofErr w:type="spellStart"/>
      <w:r w:rsidR="007F5344" w:rsidRPr="002E0A1F">
        <w:t>nesrazmjerni</w:t>
      </w:r>
      <w:proofErr w:type="spellEnd"/>
      <w:r w:rsidR="007F5344" w:rsidRPr="002E0A1F">
        <w:t xml:space="preserve"> u odnosu na moguće koristi).</w:t>
      </w:r>
    </w:p>
    <w:p w14:paraId="05294729" w14:textId="77777777" w:rsidR="00255C3D" w:rsidRPr="002E0A1F" w:rsidRDefault="00255C3D" w:rsidP="003E6589">
      <w:pPr>
        <w:pStyle w:val="Odlomakpopisa"/>
        <w:numPr>
          <w:ilvl w:val="0"/>
          <w:numId w:val="12"/>
        </w:numPr>
        <w:spacing w:line="276" w:lineRule="auto"/>
      </w:pPr>
      <w:r w:rsidRPr="002E0A1F">
        <w:rPr>
          <w:i/>
        </w:rPr>
        <w:t>Izbjegavanje rizika</w:t>
      </w:r>
      <w:r w:rsidRPr="002E0A1F">
        <w:t xml:space="preserve"> </w:t>
      </w:r>
      <w:r w:rsidR="007F5344" w:rsidRPr="002E0A1F">
        <w:t>(djelomičnim ili potpunim modificiranjem aktivnosti odnosno procesa koji je izložen riziku).</w:t>
      </w:r>
    </w:p>
    <w:p w14:paraId="1B9BA146" w14:textId="77777777" w:rsidR="00255C3D" w:rsidRPr="00701A18" w:rsidRDefault="00255C3D" w:rsidP="003E6589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3C86C8CE" w14:textId="77777777" w:rsidR="007F5344" w:rsidRPr="00701A18" w:rsidRDefault="007F5344" w:rsidP="003E6589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19D26087" w14:textId="77777777" w:rsidR="007F5344" w:rsidRPr="002E0A1F" w:rsidRDefault="007F5344" w:rsidP="003E6589">
      <w:pPr>
        <w:spacing w:line="276" w:lineRule="auto"/>
      </w:pPr>
      <w:r w:rsidRPr="002E0A1F">
        <w:t xml:space="preserve">Osim mjera usmjerenih na posljedice negativnih rizika, treba razmatrati i </w:t>
      </w:r>
      <w:r w:rsidRPr="002E0A1F">
        <w:rPr>
          <w:b/>
          <w:bCs/>
        </w:rPr>
        <w:t>mjere koje su usmjerene na korištenje pozitivnih učinaka</w:t>
      </w:r>
      <w:r w:rsidRPr="002E0A1F">
        <w:t xml:space="preserve">, odnosno mjere usmjerene da spriječe situacije “izgubljenih prilika”. Ove mjere uključuju stvaranje uvjeta da se potencijalne pozitivne prilike zaista ostvare, uključivanje zainteresiranih strana u korištenje prilika te stvaranje okolnosti kroz povećanje vjerojatnosti i/ili utjecaja pozitivnih učinaka. </w:t>
      </w:r>
    </w:p>
    <w:p w14:paraId="36CDDEC7" w14:textId="77777777" w:rsidR="00FB3755" w:rsidRPr="002E0A1F" w:rsidRDefault="00FB3755" w:rsidP="003E65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2E859ED" w14:textId="77777777" w:rsidR="007F5344" w:rsidRPr="002E0A1F" w:rsidRDefault="007F5344" w:rsidP="003E6589">
      <w:pPr>
        <w:spacing w:line="276" w:lineRule="auto"/>
      </w:pPr>
      <w:r w:rsidRPr="002E0A1F">
        <w:rPr>
          <w:b/>
          <w:u w:val="single"/>
        </w:rPr>
        <w:t>Faza praćenja rizika</w:t>
      </w:r>
      <w:r w:rsidRPr="002E0A1F">
        <w:t xml:space="preserve"> podrazumijeva praćenje provedbe mjera za ublažavanje rizika i praćenje izloženosti riziku.  Informacije prikupljene kroz postupke praćenja provedbe mjera koriste se za procjenu izloženosti riziku. Izloženost riziku može biti smanjena, povećana ili nepromijenjena, što ovisi o tome jesu li mjere za ublažavanje rizika provedene i koliko cjelovito te jesu li nastupile nove okolnosti u poslovanju. Izvještavanje o rizicima podrazumijeva izvještavanje o provedenim mjerama i o statusu izloženosti riziku koje se priprema za rukovodstvo. </w:t>
      </w:r>
      <w:r w:rsidR="004B4086" w:rsidRPr="002E0A1F">
        <w:t>Provedba mjera za ublažavanje rizika pratiti će se godišnje kroz i</w:t>
      </w:r>
      <w:r w:rsidRPr="002E0A1F">
        <w:t>zvješt</w:t>
      </w:r>
      <w:r w:rsidR="004B4086" w:rsidRPr="002E0A1F">
        <w:t xml:space="preserve">aje </w:t>
      </w:r>
      <w:r w:rsidRPr="002E0A1F">
        <w:t xml:space="preserve">o rizicima </w:t>
      </w:r>
      <w:r w:rsidR="004B4086" w:rsidRPr="002E0A1F">
        <w:t>čiji je sastavni dio Obrazac za praćenje statusa rizika</w:t>
      </w:r>
      <w:r w:rsidR="002E7352" w:rsidRPr="002E0A1F">
        <w:t xml:space="preserve"> </w:t>
      </w:r>
      <w:r w:rsidR="004B4086" w:rsidRPr="002E0A1F">
        <w:t>(Prilog</w:t>
      </w:r>
      <w:r w:rsidR="002E7352" w:rsidRPr="002E0A1F">
        <w:t xml:space="preserve"> 2</w:t>
      </w:r>
      <w:r w:rsidR="004B4086" w:rsidRPr="002E0A1F">
        <w:t xml:space="preserve">). </w:t>
      </w:r>
    </w:p>
    <w:p w14:paraId="76CEA692" w14:textId="77777777" w:rsidR="00E536D0" w:rsidRPr="00701A18" w:rsidRDefault="00E536D0" w:rsidP="003E6589">
      <w:pPr>
        <w:pStyle w:val="Default"/>
        <w:spacing w:line="276" w:lineRule="auto"/>
        <w:rPr>
          <w:b/>
          <w:bCs/>
          <w:color w:val="FF0000"/>
          <w:sz w:val="22"/>
          <w:szCs w:val="22"/>
        </w:rPr>
      </w:pPr>
    </w:p>
    <w:p w14:paraId="70D92832" w14:textId="77777777" w:rsidR="00FB3755" w:rsidRPr="00701A18" w:rsidRDefault="00FB3755" w:rsidP="003E6589">
      <w:pPr>
        <w:pStyle w:val="Default"/>
        <w:spacing w:line="276" w:lineRule="auto"/>
        <w:rPr>
          <w:rFonts w:cstheme="minorBidi"/>
          <w:color w:val="FF0000"/>
        </w:rPr>
      </w:pPr>
    </w:p>
    <w:p w14:paraId="55E7FB6D" w14:textId="77777777" w:rsidR="006A57C8" w:rsidRPr="002E0A1F" w:rsidRDefault="006A57C8" w:rsidP="003E6589">
      <w:pPr>
        <w:pStyle w:val="Naslov1"/>
        <w:numPr>
          <w:ilvl w:val="0"/>
          <w:numId w:val="9"/>
        </w:numPr>
        <w:spacing w:line="276" w:lineRule="auto"/>
        <w:ind w:left="426" w:hanging="426"/>
      </w:pPr>
      <w:r w:rsidRPr="002E0A1F">
        <w:t xml:space="preserve"> REGISTAR RIZIKA </w:t>
      </w:r>
    </w:p>
    <w:p w14:paraId="3FA568C7" w14:textId="77777777" w:rsidR="007F5344" w:rsidRPr="002E0A1F" w:rsidRDefault="007F5344" w:rsidP="003E6589">
      <w:pPr>
        <w:spacing w:line="276" w:lineRule="auto"/>
      </w:pPr>
    </w:p>
    <w:p w14:paraId="47B16E83" w14:textId="17DA979A" w:rsidR="00DA416F" w:rsidRPr="00BB2F99" w:rsidRDefault="005453DE" w:rsidP="003E6589">
      <w:pPr>
        <w:spacing w:line="276" w:lineRule="auto"/>
      </w:pPr>
      <w:r w:rsidRPr="00BB2F99">
        <w:t>Županija</w:t>
      </w:r>
      <w:r w:rsidR="00747607" w:rsidRPr="00BB2F99">
        <w:t xml:space="preserve"> </w:t>
      </w:r>
      <w:r w:rsidRPr="00BB2F99">
        <w:t>je</w:t>
      </w:r>
      <w:r w:rsidR="00747607" w:rsidRPr="00BB2F99">
        <w:t xml:space="preserve"> obvezn</w:t>
      </w:r>
      <w:r w:rsidRPr="00BB2F99">
        <w:t>a</w:t>
      </w:r>
      <w:r w:rsidR="00747607" w:rsidRPr="00BB2F99">
        <w:t xml:space="preserve"> ustrojiti </w:t>
      </w:r>
      <w:r w:rsidR="007F5344" w:rsidRPr="00BB2F99">
        <w:t>Registar rizika</w:t>
      </w:r>
      <w:r w:rsidR="002E7352" w:rsidRPr="00BB2F99">
        <w:t xml:space="preserve"> </w:t>
      </w:r>
      <w:r w:rsidR="007F5344" w:rsidRPr="00BB2F99">
        <w:t xml:space="preserve">na razini institucije. </w:t>
      </w:r>
      <w:r w:rsidR="004B4086" w:rsidRPr="00BB2F99">
        <w:t>Ovom Strategijom se t</w:t>
      </w:r>
      <w:r w:rsidR="00747607" w:rsidRPr="00BB2F99">
        <w:t xml:space="preserve">akođer na izradu </w:t>
      </w:r>
      <w:r w:rsidR="007F5344" w:rsidRPr="00BB2F99">
        <w:t>vlastit</w:t>
      </w:r>
      <w:r w:rsidR="00747607" w:rsidRPr="00BB2F99">
        <w:t>ih registra</w:t>
      </w:r>
      <w:r w:rsidR="007F5344" w:rsidRPr="00BB2F99">
        <w:t xml:space="preserve"> rizika</w:t>
      </w:r>
      <w:r w:rsidR="004B4086" w:rsidRPr="00BB2F99">
        <w:t xml:space="preserve"> </w:t>
      </w:r>
      <w:r w:rsidR="00073FDB" w:rsidRPr="00BB2F99">
        <w:t>obvezuju</w:t>
      </w:r>
      <w:r w:rsidR="00747607" w:rsidRPr="00BB2F99">
        <w:t xml:space="preserve"> i </w:t>
      </w:r>
      <w:r w:rsidR="00BB2F99" w:rsidRPr="00BB2F99">
        <w:t>proračunski/izvanproračunski</w:t>
      </w:r>
      <w:r w:rsidR="00747607" w:rsidRPr="00BB2F99">
        <w:t xml:space="preserve"> Krapinsko-zagorsk</w:t>
      </w:r>
      <w:r w:rsidR="00BB2F99" w:rsidRPr="00BB2F99">
        <w:t>e</w:t>
      </w:r>
      <w:r w:rsidR="00747607" w:rsidRPr="00BB2F99">
        <w:t xml:space="preserve"> županij</w:t>
      </w:r>
      <w:r w:rsidR="00BB2F99" w:rsidRPr="00BB2F99">
        <w:t>e.</w:t>
      </w:r>
    </w:p>
    <w:p w14:paraId="7CE977B8" w14:textId="77777777" w:rsidR="007F5344" w:rsidRPr="00BB2F99" w:rsidRDefault="00FF53C5" w:rsidP="003E6589">
      <w:pPr>
        <w:spacing w:line="276" w:lineRule="auto"/>
      </w:pPr>
      <w:r w:rsidRPr="00BB2F99">
        <w:t>Ostale institucije i</w:t>
      </w:r>
      <w:r w:rsidR="008015E8" w:rsidRPr="00BB2F99">
        <w:t>z</w:t>
      </w:r>
      <w:r w:rsidRPr="00BB2F99">
        <w:t xml:space="preserve"> nadležnosti Krapinsko-zagorske županije mogu uspostaviti vlastite registre rizika  u zavisnosti od potrebe ili u slučaju kada Krapinsko-zagorska županija to zatraži od njih. </w:t>
      </w:r>
    </w:p>
    <w:p w14:paraId="23A2CFC5" w14:textId="77777777" w:rsidR="00FF53C5" w:rsidRPr="00BB2F99" w:rsidRDefault="007F5344" w:rsidP="003E6589">
      <w:pPr>
        <w:spacing w:line="276" w:lineRule="auto"/>
      </w:pPr>
      <w:r w:rsidRPr="00BB2F99">
        <w:t>Odgovorna osoba institucije odgovorna je za uspostavu cjelovitog procesa upravljanja rizicima</w:t>
      </w:r>
      <w:r w:rsidR="00747607" w:rsidRPr="00BB2F99">
        <w:t>, a r</w:t>
      </w:r>
      <w:r w:rsidRPr="00BB2F99">
        <w:t>ukovoditelji ustrojstvenih jedinica odgovorni su za upravljanje rizicima koji mogu utjecati na ostvarenje poslovnih ciljeva iz njihove nadležnosti odnosno koji su vezani uz funkcije, aktivnosti i procese iz njihove nadležnosti.</w:t>
      </w:r>
    </w:p>
    <w:p w14:paraId="38099135" w14:textId="2DA8CDB5" w:rsidR="007F5344" w:rsidRPr="00BB2F99" w:rsidRDefault="00370237" w:rsidP="003E6589">
      <w:pPr>
        <w:spacing w:line="276" w:lineRule="auto"/>
      </w:pPr>
      <w:r w:rsidRPr="00BB2F99">
        <w:lastRenderedPageBreak/>
        <w:t>Ostale i</w:t>
      </w:r>
      <w:r w:rsidR="00FF53C5" w:rsidRPr="00BB2F99">
        <w:t xml:space="preserve">nstitucije iz nadležnosti Krapinsko-zagorske županije </w:t>
      </w:r>
      <w:r w:rsidRPr="00BB2F99">
        <w:t xml:space="preserve">također su </w:t>
      </w:r>
      <w:r w:rsidR="00FF53C5" w:rsidRPr="00BB2F99">
        <w:t>u obvezi na traženje Županije dostavljati podatke o rizicima neovisno o tome imaju li uspostavljene vlastite registre rizika ili se njihov</w:t>
      </w:r>
      <w:r w:rsidRPr="00BB2F99">
        <w:t>i rizici prate u okviru registr</w:t>
      </w:r>
      <w:r w:rsidR="00FF53C5" w:rsidRPr="00BB2F99">
        <w:t>a rizika</w:t>
      </w:r>
      <w:r w:rsidRPr="00BB2F99">
        <w:t xml:space="preserve"> Županije</w:t>
      </w:r>
      <w:r w:rsidR="00FF53C5" w:rsidRPr="00BB2F99">
        <w:t>.</w:t>
      </w:r>
    </w:p>
    <w:p w14:paraId="62147385" w14:textId="755B70A0" w:rsidR="007F5344" w:rsidRPr="00BB2F99" w:rsidRDefault="00A01B7A" w:rsidP="003E6589">
      <w:pPr>
        <w:spacing w:line="276" w:lineRule="auto"/>
      </w:pPr>
      <w:r w:rsidRPr="00BB2F99">
        <w:t xml:space="preserve">Registar rizika </w:t>
      </w:r>
      <w:r w:rsidR="00073FDB" w:rsidRPr="00BB2F99">
        <w:t>(</w:t>
      </w:r>
      <w:r w:rsidR="00B51694" w:rsidRPr="00BB2F99">
        <w:t>Prilog</w:t>
      </w:r>
      <w:r w:rsidR="00073FDB" w:rsidRPr="00BB2F99">
        <w:t xml:space="preserve"> 3.</w:t>
      </w:r>
      <w:r w:rsidR="00FD446A" w:rsidRPr="00BB2F99">
        <w:t>)</w:t>
      </w:r>
      <w:r w:rsidR="00073FDB" w:rsidRPr="00BB2F99">
        <w:t xml:space="preserve"> </w:t>
      </w:r>
      <w:r w:rsidRPr="00BB2F99">
        <w:t xml:space="preserve">ažurira </w:t>
      </w:r>
      <w:r w:rsidR="00073FDB" w:rsidRPr="00BB2F99">
        <w:t xml:space="preserve">se </w:t>
      </w:r>
      <w:r w:rsidR="00080588" w:rsidRPr="00BB2F99">
        <w:t xml:space="preserve">jednom godišnje. </w:t>
      </w:r>
    </w:p>
    <w:p w14:paraId="3FB15463" w14:textId="597DD8CF" w:rsidR="007F5344" w:rsidRPr="00BB2F99" w:rsidRDefault="00DA416F" w:rsidP="003E6589">
      <w:pPr>
        <w:spacing w:line="276" w:lineRule="auto"/>
        <w:rPr>
          <w:sz w:val="22"/>
        </w:rPr>
      </w:pPr>
      <w:r w:rsidRPr="00BB2F99">
        <w:t>Institucije koje su dužne uspostaviti registar rizika će isti dostavljati jednom godišnje</w:t>
      </w:r>
      <w:r w:rsidR="00BB2F99">
        <w:t xml:space="preserve"> u nadležni upravni odjel</w:t>
      </w:r>
      <w:r w:rsidR="00080588" w:rsidRPr="00BB2F99">
        <w:t xml:space="preserve">. </w:t>
      </w:r>
    </w:p>
    <w:p w14:paraId="10FF37B4" w14:textId="77777777" w:rsidR="006A57C8" w:rsidRPr="00701A18" w:rsidRDefault="006A57C8" w:rsidP="003E6589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2A08B0C9" w14:textId="77777777" w:rsidR="006A57C8" w:rsidRPr="002E0A1F" w:rsidRDefault="006A57C8" w:rsidP="003E6589">
      <w:pPr>
        <w:pStyle w:val="Naslov1"/>
        <w:numPr>
          <w:ilvl w:val="0"/>
          <w:numId w:val="9"/>
        </w:numPr>
        <w:spacing w:line="276" w:lineRule="auto"/>
        <w:ind w:left="426" w:hanging="426"/>
      </w:pPr>
      <w:r w:rsidRPr="002E0A1F">
        <w:t xml:space="preserve"> KOORDINATORI ZA RIZIKE </w:t>
      </w:r>
    </w:p>
    <w:p w14:paraId="2A72D1EF" w14:textId="77777777" w:rsidR="006A57C8" w:rsidRPr="002E0A1F" w:rsidRDefault="006A57C8" w:rsidP="003E65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1EC792C" w14:textId="77777777" w:rsidR="000E4FBA" w:rsidRPr="002E0A1F" w:rsidRDefault="000E4FBA" w:rsidP="003E6589">
      <w:pPr>
        <w:spacing w:line="276" w:lineRule="auto"/>
        <w:rPr>
          <w:szCs w:val="24"/>
        </w:rPr>
      </w:pPr>
      <w:r w:rsidRPr="002E0A1F">
        <w:rPr>
          <w:szCs w:val="24"/>
        </w:rPr>
        <w:t>K</w:t>
      </w:r>
      <w:r w:rsidR="008015E8" w:rsidRPr="002E0A1F">
        <w:rPr>
          <w:szCs w:val="24"/>
        </w:rPr>
        <w:t xml:space="preserve">oordinatorom za strateške rizike na razini </w:t>
      </w:r>
      <w:r w:rsidRPr="002E0A1F">
        <w:rPr>
          <w:szCs w:val="24"/>
        </w:rPr>
        <w:t>Županij</w:t>
      </w:r>
      <w:r w:rsidR="008015E8" w:rsidRPr="002E0A1F">
        <w:rPr>
          <w:szCs w:val="24"/>
        </w:rPr>
        <w:t>e</w:t>
      </w:r>
      <w:r w:rsidRPr="002E0A1F">
        <w:rPr>
          <w:szCs w:val="24"/>
        </w:rPr>
        <w:t xml:space="preserve"> </w:t>
      </w:r>
      <w:r w:rsidR="008015E8" w:rsidRPr="002E0A1F">
        <w:rPr>
          <w:szCs w:val="24"/>
        </w:rPr>
        <w:t>imenovati će se z</w:t>
      </w:r>
      <w:r w:rsidRPr="002E0A1F">
        <w:rPr>
          <w:szCs w:val="24"/>
        </w:rPr>
        <w:t xml:space="preserve">amjenik </w:t>
      </w:r>
      <w:r w:rsidR="008015E8" w:rsidRPr="002E0A1F">
        <w:rPr>
          <w:szCs w:val="24"/>
        </w:rPr>
        <w:t>Ž</w:t>
      </w:r>
      <w:r w:rsidRPr="002E0A1F">
        <w:rPr>
          <w:szCs w:val="24"/>
        </w:rPr>
        <w:t>upana</w:t>
      </w:r>
      <w:r w:rsidR="008015E8" w:rsidRPr="002E0A1F">
        <w:rPr>
          <w:szCs w:val="24"/>
        </w:rPr>
        <w:t xml:space="preserve">. </w:t>
      </w:r>
      <w:r w:rsidRPr="002E0A1F">
        <w:rPr>
          <w:szCs w:val="24"/>
        </w:rPr>
        <w:t xml:space="preserve">Koordinator za strateške rizike ima sljedeću ulogu: </w:t>
      </w:r>
    </w:p>
    <w:p w14:paraId="37F13B11" w14:textId="77777777" w:rsidR="000E4FBA" w:rsidRPr="002E0A1F" w:rsidRDefault="000E4FBA" w:rsidP="003E6589">
      <w:pPr>
        <w:pStyle w:val="Odlomakpopisa"/>
        <w:numPr>
          <w:ilvl w:val="0"/>
          <w:numId w:val="21"/>
        </w:numPr>
        <w:spacing w:line="276" w:lineRule="auto"/>
        <w:rPr>
          <w:szCs w:val="24"/>
        </w:rPr>
      </w:pPr>
      <w:r w:rsidRPr="002E0A1F">
        <w:rPr>
          <w:szCs w:val="24"/>
        </w:rPr>
        <w:t>u suradnji s najvišom razinom rukovodstva uključujući i odgovorne osobe institucije i institucija iz nadležnosti</w:t>
      </w:r>
      <w:r w:rsidR="008015E8" w:rsidRPr="002E0A1F">
        <w:rPr>
          <w:szCs w:val="24"/>
        </w:rPr>
        <w:t xml:space="preserve"> te</w:t>
      </w:r>
      <w:r w:rsidRPr="002E0A1F">
        <w:rPr>
          <w:szCs w:val="24"/>
        </w:rPr>
        <w:t xml:space="preserve"> pročelnik</w:t>
      </w:r>
      <w:r w:rsidR="008015E8" w:rsidRPr="002E0A1F">
        <w:rPr>
          <w:szCs w:val="24"/>
        </w:rPr>
        <w:t>a</w:t>
      </w:r>
      <w:r w:rsidRPr="002E0A1F">
        <w:rPr>
          <w:szCs w:val="24"/>
        </w:rPr>
        <w:t xml:space="preserve"> upravnih odjela prikupiti podatke o strateškim rizicima institucije i institucija iz nadležnosti </w:t>
      </w:r>
    </w:p>
    <w:p w14:paraId="3C73C9DA" w14:textId="77777777" w:rsidR="000E4FBA" w:rsidRPr="002E0A1F" w:rsidRDefault="000E4FBA" w:rsidP="003E6589">
      <w:pPr>
        <w:pStyle w:val="Odlomakpopisa"/>
        <w:numPr>
          <w:ilvl w:val="0"/>
          <w:numId w:val="21"/>
        </w:numPr>
        <w:spacing w:line="276" w:lineRule="auto"/>
        <w:rPr>
          <w:szCs w:val="24"/>
        </w:rPr>
      </w:pPr>
      <w:r w:rsidRPr="002E0A1F">
        <w:rPr>
          <w:szCs w:val="24"/>
        </w:rPr>
        <w:t xml:space="preserve">organizirati sastanke s najvišom razinom rukovodstva na kojima će se raspraviti prikupljeni podaci i rezultati obavljene procjene rizika te zajednički utvrditi lista prioritetnih strateških rizika </w:t>
      </w:r>
    </w:p>
    <w:p w14:paraId="41137F65" w14:textId="77777777" w:rsidR="000E4FBA" w:rsidRPr="002E0A1F" w:rsidRDefault="000E4FBA" w:rsidP="003E6589">
      <w:pPr>
        <w:pStyle w:val="Odlomakpopisa"/>
        <w:numPr>
          <w:ilvl w:val="0"/>
          <w:numId w:val="21"/>
        </w:numPr>
        <w:spacing w:line="276" w:lineRule="auto"/>
        <w:rPr>
          <w:szCs w:val="24"/>
        </w:rPr>
      </w:pPr>
      <w:r w:rsidRPr="002E0A1F">
        <w:rPr>
          <w:szCs w:val="24"/>
        </w:rPr>
        <w:t xml:space="preserve">osigurati da se prioritetni strateški rizici upisuju u registar rizika i da se prate od strane najviše razine rukovodstva </w:t>
      </w:r>
    </w:p>
    <w:p w14:paraId="240B1F4F" w14:textId="77777777" w:rsidR="000E4FBA" w:rsidRPr="002E0A1F" w:rsidRDefault="000E4FBA" w:rsidP="003E6589">
      <w:pPr>
        <w:pStyle w:val="Odlomakpopisa"/>
        <w:numPr>
          <w:ilvl w:val="0"/>
          <w:numId w:val="21"/>
        </w:numPr>
        <w:spacing w:line="276" w:lineRule="auto"/>
        <w:rPr>
          <w:szCs w:val="24"/>
        </w:rPr>
      </w:pPr>
      <w:r w:rsidRPr="002E0A1F">
        <w:rPr>
          <w:szCs w:val="24"/>
        </w:rPr>
        <w:t xml:space="preserve">osigurava da su podaci u registru rizika ažurirani na temelju prikupljenih podataka o stanju rizika. </w:t>
      </w:r>
    </w:p>
    <w:p w14:paraId="59BCD677" w14:textId="77777777" w:rsidR="000E4FBA" w:rsidRPr="00701A18" w:rsidRDefault="000E4FBA" w:rsidP="003E6589">
      <w:pPr>
        <w:spacing w:line="276" w:lineRule="auto"/>
        <w:rPr>
          <w:rFonts w:ascii="Calibri" w:hAnsi="Calibri" w:cs="Calibri"/>
          <w:color w:val="FF0000"/>
          <w:szCs w:val="24"/>
        </w:rPr>
      </w:pPr>
    </w:p>
    <w:p w14:paraId="3C7C78FC" w14:textId="55A30979" w:rsidR="000E4FBA" w:rsidRPr="002E0A1F" w:rsidRDefault="000E4FBA" w:rsidP="003E6589">
      <w:pPr>
        <w:spacing w:line="276" w:lineRule="auto"/>
        <w:rPr>
          <w:szCs w:val="24"/>
        </w:rPr>
      </w:pPr>
      <w:r w:rsidRPr="002E0A1F">
        <w:rPr>
          <w:szCs w:val="24"/>
        </w:rPr>
        <w:t>K</w:t>
      </w:r>
      <w:r w:rsidR="008015E8" w:rsidRPr="002E0A1F">
        <w:rPr>
          <w:szCs w:val="24"/>
        </w:rPr>
        <w:t xml:space="preserve">oordinatorom za operativne rizike imenovati će se </w:t>
      </w:r>
      <w:r w:rsidRPr="002E0A1F">
        <w:rPr>
          <w:szCs w:val="24"/>
        </w:rPr>
        <w:t>pročelnik nadležan za financije</w:t>
      </w:r>
      <w:r w:rsidR="003E6589" w:rsidRPr="002E0A1F">
        <w:rPr>
          <w:szCs w:val="24"/>
        </w:rPr>
        <w:t>, odnosno pročelnik U</w:t>
      </w:r>
      <w:r w:rsidR="008015E8" w:rsidRPr="002E0A1F">
        <w:rPr>
          <w:szCs w:val="24"/>
        </w:rPr>
        <w:t xml:space="preserve">pravnog odjela za financije. </w:t>
      </w:r>
      <w:r w:rsidRPr="002E0A1F">
        <w:rPr>
          <w:szCs w:val="24"/>
        </w:rPr>
        <w:t xml:space="preserve">Koordinator za operativne rizike ima sljedeću ulogu: </w:t>
      </w:r>
    </w:p>
    <w:p w14:paraId="0E3A28A7" w14:textId="77777777" w:rsidR="000E4FBA" w:rsidRPr="002E0A1F" w:rsidRDefault="000E4FBA" w:rsidP="003E6589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2E0A1F">
        <w:rPr>
          <w:szCs w:val="24"/>
        </w:rPr>
        <w:t xml:space="preserve">u suradnji s </w:t>
      </w:r>
      <w:r w:rsidR="00DA416F" w:rsidRPr="002E0A1F">
        <w:rPr>
          <w:szCs w:val="24"/>
        </w:rPr>
        <w:t>pročelnicima upravnih odjela</w:t>
      </w:r>
      <w:r w:rsidRPr="002E0A1F">
        <w:rPr>
          <w:szCs w:val="24"/>
        </w:rPr>
        <w:t xml:space="preserve"> prikupiti podatke o operativnim rizicima koji se odnose na poslovne procese vezane uz proračunski ciklus, procese javne nabave, procese vezane uz upravljanje ljudskim potencijalima, procese informatičke podrške, upravljanja imovinom i slično </w:t>
      </w:r>
    </w:p>
    <w:p w14:paraId="68363E9F" w14:textId="77777777" w:rsidR="000E4FBA" w:rsidRPr="002E0A1F" w:rsidRDefault="000E4FBA" w:rsidP="003E6589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2E0A1F">
        <w:rPr>
          <w:szCs w:val="24"/>
        </w:rPr>
        <w:t xml:space="preserve">organizirati dodatne sastanke </w:t>
      </w:r>
      <w:r w:rsidR="00DA416F" w:rsidRPr="002E0A1F">
        <w:rPr>
          <w:szCs w:val="24"/>
        </w:rPr>
        <w:t xml:space="preserve">s pročelnicima upravnih odjela </w:t>
      </w:r>
      <w:r w:rsidRPr="002E0A1F">
        <w:rPr>
          <w:szCs w:val="24"/>
        </w:rPr>
        <w:t xml:space="preserve">nadležnih za područje financija, nabave i ugovaranja, upravljanje ljudskim potencijalima, upravljanje i održavanje imovinom i slično, raspraviti prikupljene podatke i rezultate procjene rizika te zajednički utvrditi listu prioritetnih operativnih rizika </w:t>
      </w:r>
    </w:p>
    <w:p w14:paraId="040D3D32" w14:textId="22963506" w:rsidR="000E4FBA" w:rsidRPr="002E0A1F" w:rsidRDefault="000E4FBA" w:rsidP="003E6589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2E0A1F">
        <w:rPr>
          <w:szCs w:val="24"/>
        </w:rPr>
        <w:t xml:space="preserve">osigurati da se operativni rizici za koje se procijeni da su povezani sa strateškim rizicima ili se procijeni da ih je potrebno pratiti na razini institucije upisuju u registar rizika institucije </w:t>
      </w:r>
    </w:p>
    <w:p w14:paraId="0AF15C11" w14:textId="60391F02" w:rsidR="000E4FBA" w:rsidRPr="002E0A1F" w:rsidRDefault="000E4FBA" w:rsidP="003E6589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2E0A1F">
        <w:rPr>
          <w:szCs w:val="24"/>
        </w:rPr>
        <w:t>osigurava da su podaci u registru rizika ažurirani na temelju prikup</w:t>
      </w:r>
      <w:r w:rsidR="002E1DC5" w:rsidRPr="002E0A1F">
        <w:rPr>
          <w:szCs w:val="24"/>
        </w:rPr>
        <w:t>ljenih podataka o stanju rizika</w:t>
      </w:r>
    </w:p>
    <w:p w14:paraId="6865B4CA" w14:textId="77777777" w:rsidR="000E4FBA" w:rsidRPr="002E0A1F" w:rsidRDefault="000E4FBA" w:rsidP="003E6589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2E0A1F">
        <w:rPr>
          <w:szCs w:val="24"/>
        </w:rPr>
        <w:lastRenderedPageBreak/>
        <w:t xml:space="preserve">Ostali operativni rizici utvrđuju se i prate na razini nadležnih ustrojstvenih jedinica i institucija iz nadležnosti koje za potrebe praćenja rizika mogu ustrojiti i zasebne registre operativnih rizika. </w:t>
      </w:r>
    </w:p>
    <w:p w14:paraId="5C6C460E" w14:textId="77777777" w:rsidR="006A57C8" w:rsidRPr="00701A18" w:rsidRDefault="006A57C8" w:rsidP="003E6589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40C86532" w14:textId="77777777" w:rsidR="006A57C8" w:rsidRPr="002E0A1F" w:rsidRDefault="006A57C8" w:rsidP="003E6589">
      <w:pPr>
        <w:pStyle w:val="Naslov1"/>
        <w:numPr>
          <w:ilvl w:val="0"/>
          <w:numId w:val="9"/>
        </w:numPr>
        <w:spacing w:line="276" w:lineRule="auto"/>
        <w:ind w:left="426" w:hanging="426"/>
      </w:pPr>
      <w:r w:rsidRPr="002E0A1F">
        <w:t xml:space="preserve">POKAZATELJI FUNKCIONALNOSTI PROCESA UPRAVLJANJA RIZICIMA </w:t>
      </w:r>
    </w:p>
    <w:p w14:paraId="62DF0E65" w14:textId="77777777" w:rsidR="004B21A5" w:rsidRPr="002E0A1F" w:rsidRDefault="004B21A5" w:rsidP="003E65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23833BA" w14:textId="77777777" w:rsidR="004B21A5" w:rsidRPr="002E0A1F" w:rsidRDefault="004B21A5" w:rsidP="003E6589">
      <w:pPr>
        <w:spacing w:line="276" w:lineRule="auto"/>
      </w:pPr>
      <w:r w:rsidRPr="002E0A1F">
        <w:t xml:space="preserve">Pokazatelji funkcionalnosti procesa upravljanja rizicima su: </w:t>
      </w:r>
    </w:p>
    <w:p w14:paraId="612523C9" w14:textId="77777777" w:rsidR="004B21A5" w:rsidRPr="002E0A1F" w:rsidRDefault="004B21A5" w:rsidP="003E6589">
      <w:pPr>
        <w:pStyle w:val="Odlomakpopisa"/>
        <w:numPr>
          <w:ilvl w:val="0"/>
          <w:numId w:val="12"/>
        </w:numPr>
        <w:spacing w:line="276" w:lineRule="auto"/>
      </w:pPr>
      <w:r w:rsidRPr="002E0A1F">
        <w:t xml:space="preserve">na godišnjoj razini registar rizika (strateških i operativnih) je u potpunosti pregledan i dogovoreno je upravljanje rizicima </w:t>
      </w:r>
    </w:p>
    <w:p w14:paraId="68DABF37" w14:textId="39CDB37C" w:rsidR="004B21A5" w:rsidRPr="002E0A1F" w:rsidRDefault="004B21A5" w:rsidP="003E6589">
      <w:pPr>
        <w:pStyle w:val="Odlomakpopisa"/>
        <w:numPr>
          <w:ilvl w:val="0"/>
          <w:numId w:val="12"/>
        </w:numPr>
        <w:spacing w:line="276" w:lineRule="auto"/>
      </w:pPr>
      <w:r w:rsidRPr="002E0A1F">
        <w:t xml:space="preserve">mjere </w:t>
      </w:r>
      <w:r w:rsidR="005453DE" w:rsidRPr="002E0A1F">
        <w:t>za ublažavanje</w:t>
      </w:r>
      <w:r w:rsidRPr="002E0A1F">
        <w:t xml:space="preserve"> provode se u okviru rokova utvrđenih za izvršenje i sve nove mjere ažurirane su u registru rizika </w:t>
      </w:r>
    </w:p>
    <w:p w14:paraId="2246C477" w14:textId="571B2EE8" w:rsidR="006A57C8" w:rsidRPr="002E0A1F" w:rsidRDefault="004B21A5" w:rsidP="00B92397">
      <w:pPr>
        <w:pStyle w:val="Odlomakpopisa"/>
        <w:numPr>
          <w:ilvl w:val="0"/>
          <w:numId w:val="12"/>
        </w:numPr>
        <w:spacing w:line="276" w:lineRule="auto"/>
        <w:rPr>
          <w:sz w:val="22"/>
        </w:rPr>
      </w:pPr>
      <w:r w:rsidRPr="002E0A1F">
        <w:t>upravljanje rizicima je redovita stavka na sastancima unutar tijela upravnih odjela Županije kako bi se omogućilo razmatranje izloženosti riziku i ponovno postavljanje prioriteta.</w:t>
      </w:r>
    </w:p>
    <w:p w14:paraId="6664C75E" w14:textId="77777777" w:rsidR="004B21A5" w:rsidRPr="00701A18" w:rsidRDefault="004B21A5" w:rsidP="003E6589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43413E49" w14:textId="77777777" w:rsidR="006A57C8" w:rsidRPr="002E0A1F" w:rsidRDefault="00DA416F" w:rsidP="003E6589">
      <w:pPr>
        <w:pStyle w:val="Naslov1"/>
        <w:numPr>
          <w:ilvl w:val="0"/>
          <w:numId w:val="9"/>
        </w:numPr>
        <w:spacing w:line="276" w:lineRule="auto"/>
        <w:ind w:left="426" w:hanging="426"/>
      </w:pPr>
      <w:r w:rsidRPr="002E0A1F">
        <w:t xml:space="preserve">PREGLED/AŽURIRANJE STRATEGIJE ZA UPRAVLJANJE RIZICIMA </w:t>
      </w:r>
    </w:p>
    <w:p w14:paraId="38FF47E4" w14:textId="77777777" w:rsidR="006A57C8" w:rsidRPr="002E0A1F" w:rsidRDefault="006A57C8" w:rsidP="003E65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475D9B5" w14:textId="77777777" w:rsidR="00A01B7A" w:rsidRDefault="006A57C8" w:rsidP="003E6589">
      <w:pPr>
        <w:spacing w:line="276" w:lineRule="auto"/>
      </w:pPr>
      <w:r w:rsidRPr="002E0A1F">
        <w:t xml:space="preserve">Strategija upravljanja rizicima će se ažurirati po potrebi, sukladno razvoju procesa upravljanja rizicima i zahtjevu </w:t>
      </w:r>
      <w:r w:rsidR="00A01B7A" w:rsidRPr="002E0A1F">
        <w:t>Krapinsko-zagorske županije</w:t>
      </w:r>
      <w:r w:rsidRPr="002E0A1F">
        <w:t xml:space="preserve"> za potrebe unaprjeđenj</w:t>
      </w:r>
      <w:r w:rsidR="00A01B7A" w:rsidRPr="002E0A1F">
        <w:t xml:space="preserve">a procesa upravljanja rizicima, a </w:t>
      </w:r>
      <w:r w:rsidRPr="002E0A1F">
        <w:t>n</w:t>
      </w:r>
      <w:r w:rsidR="00A01B7A" w:rsidRPr="002E0A1F">
        <w:t xml:space="preserve">ajmanje jednom u tri godine.  </w:t>
      </w:r>
    </w:p>
    <w:p w14:paraId="1F12492E" w14:textId="77777777" w:rsidR="00911A09" w:rsidRDefault="00911A09" w:rsidP="003E6589">
      <w:pPr>
        <w:spacing w:line="276" w:lineRule="auto"/>
      </w:pPr>
    </w:p>
    <w:p w14:paraId="6945FB82" w14:textId="648840B6" w:rsidR="00911A09" w:rsidRDefault="00911A09" w:rsidP="00911A09">
      <w:pPr>
        <w:spacing w:line="276" w:lineRule="auto"/>
      </w:pPr>
      <w:r>
        <w:t>Danom stupanja na snagu ove Upute prestaje važiti Strategija upravljanja rizicima Krapinsko-zagorske županije, KLASA: 470-04/17-01/13, URBROJ: 2140/01-07-14-3 od datuma 04. listopada 2017. godine.</w:t>
      </w:r>
    </w:p>
    <w:p w14:paraId="3CCEA9FB" w14:textId="77777777" w:rsidR="00911A09" w:rsidRDefault="00911A09" w:rsidP="00911A09">
      <w:pPr>
        <w:spacing w:line="276" w:lineRule="auto"/>
      </w:pPr>
    </w:p>
    <w:p w14:paraId="4691ADD5" w14:textId="0C5A93AB" w:rsidR="00560C38" w:rsidRPr="00B83C37" w:rsidRDefault="00911A09" w:rsidP="00560C38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  <w:r>
        <w:t xml:space="preserve">Ova Procedura stupa na snagu danom donošenja </w:t>
      </w:r>
      <w:r w:rsidR="00560C38" w:rsidRPr="00560C38">
        <w:rPr>
          <w:rFonts w:eastAsia="Times New Roman" w:cs="Calibri"/>
          <w:szCs w:val="24"/>
          <w:lang w:eastAsia="ar-SA"/>
        </w:rPr>
        <w:t>i objaviti će se u Službenom glasniku Krapinsko-zagorske županije.</w:t>
      </w:r>
    </w:p>
    <w:p w14:paraId="0116467D" w14:textId="09DFB0B6" w:rsidR="00A01B7A" w:rsidRPr="00560C38" w:rsidRDefault="00911A09" w:rsidP="00560C38">
      <w:pPr>
        <w:spacing w:line="276" w:lineRule="auto"/>
      </w:pPr>
      <w:r>
        <w:t xml:space="preserve">                                   </w:t>
      </w:r>
    </w:p>
    <w:p w14:paraId="784EE1AA" w14:textId="77777777" w:rsidR="003B5CF5" w:rsidRPr="002E0A1F" w:rsidRDefault="003B5CF5" w:rsidP="003B5CF5">
      <w:pPr>
        <w:spacing w:line="240" w:lineRule="auto"/>
        <w:ind w:left="6372" w:firstLine="708"/>
        <w:jc w:val="center"/>
        <w:rPr>
          <w:rFonts w:eastAsia="Times New Roman" w:cs="Times New Roman"/>
        </w:rPr>
      </w:pPr>
    </w:p>
    <w:p w14:paraId="0534335E" w14:textId="77777777" w:rsidR="003B5CF5" w:rsidRPr="002E0A1F" w:rsidRDefault="003B5CF5" w:rsidP="003B5CF5">
      <w:pPr>
        <w:spacing w:line="240" w:lineRule="auto"/>
        <w:ind w:left="6372" w:firstLine="708"/>
        <w:jc w:val="center"/>
        <w:rPr>
          <w:rFonts w:eastAsia="Times New Roman" w:cs="Times New Roman"/>
        </w:rPr>
      </w:pPr>
      <w:r w:rsidRPr="002E0A1F">
        <w:rPr>
          <w:rFonts w:eastAsia="Times New Roman" w:cs="Times New Roman"/>
        </w:rPr>
        <w:t>ŽUPAN</w:t>
      </w:r>
    </w:p>
    <w:p w14:paraId="3EA35352" w14:textId="77777777" w:rsidR="003B5CF5" w:rsidRPr="002E0A1F" w:rsidRDefault="003B5CF5" w:rsidP="003B5CF5">
      <w:pPr>
        <w:spacing w:line="240" w:lineRule="auto"/>
        <w:jc w:val="center"/>
        <w:rPr>
          <w:rFonts w:eastAsia="Times New Roman" w:cs="Times New Roman"/>
        </w:rPr>
      </w:pP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</w:r>
      <w:r w:rsidRPr="002E0A1F">
        <w:rPr>
          <w:rFonts w:eastAsia="Times New Roman" w:cs="Times New Roman"/>
        </w:rPr>
        <w:tab/>
        <w:t xml:space="preserve">            Željko Kolar</w:t>
      </w:r>
    </w:p>
    <w:p w14:paraId="1AC05725" w14:textId="77777777" w:rsidR="003B5CF5" w:rsidRPr="00560C38" w:rsidRDefault="003B5CF5" w:rsidP="003B5CF5">
      <w:pPr>
        <w:spacing w:line="240" w:lineRule="auto"/>
        <w:rPr>
          <w:rFonts w:eastAsia="Times New Roman" w:cs="Times New Roman"/>
        </w:rPr>
      </w:pPr>
      <w:r w:rsidRPr="00560C38">
        <w:rPr>
          <w:rFonts w:eastAsia="Times New Roman" w:cs="Times New Roman"/>
        </w:rPr>
        <w:t>Dostaviti:</w:t>
      </w:r>
    </w:p>
    <w:p w14:paraId="5FDBDE90" w14:textId="77777777" w:rsidR="003B5CF5" w:rsidRPr="00560C38" w:rsidRDefault="003B5CF5" w:rsidP="003B5CF5">
      <w:pPr>
        <w:numPr>
          <w:ilvl w:val="0"/>
          <w:numId w:val="22"/>
        </w:numPr>
        <w:spacing w:after="200" w:line="276" w:lineRule="auto"/>
        <w:contextualSpacing/>
        <w:jc w:val="left"/>
        <w:rPr>
          <w:rFonts w:eastAsia="Times New Roman" w:cs="Times New Roman"/>
        </w:rPr>
      </w:pPr>
      <w:r w:rsidRPr="00560C38">
        <w:rPr>
          <w:rFonts w:eastAsia="Times New Roman" w:cs="Times New Roman"/>
        </w:rPr>
        <w:t xml:space="preserve">Upravna tijela Županije, </w:t>
      </w:r>
    </w:p>
    <w:p w14:paraId="10F61607" w14:textId="77777777" w:rsidR="003B5CF5" w:rsidRPr="00560C38" w:rsidRDefault="003B5CF5" w:rsidP="003B5CF5">
      <w:pPr>
        <w:ind w:left="720"/>
        <w:contextualSpacing/>
        <w:rPr>
          <w:rFonts w:eastAsia="Times New Roman" w:cs="Times New Roman"/>
        </w:rPr>
      </w:pPr>
      <w:r w:rsidRPr="00560C38">
        <w:rPr>
          <w:rFonts w:eastAsia="Times New Roman" w:cs="Times New Roman"/>
        </w:rPr>
        <w:t>n/p pročelnika,</w:t>
      </w:r>
    </w:p>
    <w:p w14:paraId="4BB7CA9B" w14:textId="77777777" w:rsidR="003B5CF5" w:rsidRPr="00560C38" w:rsidRDefault="003B5CF5" w:rsidP="003B5CF5">
      <w:pPr>
        <w:numPr>
          <w:ilvl w:val="0"/>
          <w:numId w:val="22"/>
        </w:numPr>
        <w:spacing w:after="200" w:line="276" w:lineRule="auto"/>
        <w:contextualSpacing/>
        <w:jc w:val="left"/>
        <w:rPr>
          <w:rFonts w:eastAsia="Times New Roman" w:cs="Times New Roman"/>
        </w:rPr>
      </w:pPr>
      <w:r w:rsidRPr="00560C38">
        <w:rPr>
          <w:rFonts w:eastAsia="Times New Roman" w:cs="Times New Roman"/>
        </w:rPr>
        <w:t xml:space="preserve">„Službeni glasnik Krapinsko-zagorske županije“, </w:t>
      </w:r>
    </w:p>
    <w:p w14:paraId="64E481C2" w14:textId="77777777" w:rsidR="003B5CF5" w:rsidRPr="00560C38" w:rsidRDefault="003B5CF5" w:rsidP="003B5CF5">
      <w:pPr>
        <w:numPr>
          <w:ilvl w:val="0"/>
          <w:numId w:val="22"/>
        </w:numPr>
        <w:spacing w:after="200" w:line="276" w:lineRule="auto"/>
        <w:contextualSpacing/>
        <w:jc w:val="left"/>
      </w:pPr>
      <w:r w:rsidRPr="00560C38">
        <w:rPr>
          <w:rFonts w:eastAsia="Times New Roman" w:cs="Times New Roman"/>
        </w:rPr>
        <w:t>Za Zbirku isprava,</w:t>
      </w:r>
    </w:p>
    <w:p w14:paraId="2D52ED6F" w14:textId="77777777" w:rsidR="003B5CF5" w:rsidRPr="0064143E" w:rsidRDefault="003B5CF5" w:rsidP="003B5CF5">
      <w:pPr>
        <w:numPr>
          <w:ilvl w:val="0"/>
          <w:numId w:val="22"/>
        </w:numPr>
        <w:spacing w:after="200" w:line="276" w:lineRule="auto"/>
        <w:contextualSpacing/>
        <w:jc w:val="left"/>
        <w:rPr>
          <w:rFonts w:eastAsiaTheme="majorEastAsia" w:cstheme="majorBidi"/>
          <w:b/>
          <w:bCs/>
          <w:szCs w:val="28"/>
        </w:rPr>
      </w:pPr>
      <w:r w:rsidRPr="00560C38">
        <w:rPr>
          <w:rFonts w:eastAsia="Times New Roman" w:cs="Times New Roman"/>
        </w:rPr>
        <w:t>Pismohrana.</w:t>
      </w:r>
      <w:r>
        <w:br w:type="page"/>
      </w:r>
    </w:p>
    <w:p w14:paraId="3C9ED555" w14:textId="77777777" w:rsidR="003B5CF5" w:rsidRDefault="003B5CF5" w:rsidP="003B5CF5">
      <w:pPr>
        <w:pStyle w:val="Naslov1"/>
      </w:pPr>
      <w:bookmarkStart w:id="1" w:name="_Toc399241359"/>
      <w:r>
        <w:lastRenderedPageBreak/>
        <w:t>PRILOZI</w:t>
      </w:r>
      <w:bookmarkEnd w:id="1"/>
    </w:p>
    <w:p w14:paraId="346ADF4B" w14:textId="77777777" w:rsidR="003B5CF5" w:rsidRDefault="003B5CF5" w:rsidP="003B5CF5"/>
    <w:p w14:paraId="030509AE" w14:textId="5305EEAA" w:rsidR="003B5CF5" w:rsidRDefault="003B5CF5" w:rsidP="003B5CF5">
      <w:r w:rsidRPr="00576E9F">
        <w:rPr>
          <w:b/>
        </w:rPr>
        <w:t>Prilog 1</w:t>
      </w:r>
      <w:r>
        <w:t xml:space="preserve">. </w:t>
      </w:r>
      <w:r>
        <w:rPr>
          <w:rFonts w:ascii="TimesNewRomanPSMT" w:hAnsi="TimesNewRomanPSMT" w:cs="TimesNewRomanPSMT"/>
          <w:szCs w:val="24"/>
        </w:rPr>
        <w:t>Obrazac za utvrđivanje i procjenu rizika</w:t>
      </w:r>
    </w:p>
    <w:p w14:paraId="73510BFC" w14:textId="4EBDB599" w:rsidR="003B5CF5" w:rsidRDefault="003B5CF5" w:rsidP="003B5CF5">
      <w:r w:rsidRPr="00576E9F">
        <w:rPr>
          <w:b/>
        </w:rPr>
        <w:t>Prilog 2.</w:t>
      </w:r>
      <w:r>
        <w:t xml:space="preserve"> </w:t>
      </w:r>
      <w:r w:rsidR="00B51694" w:rsidRPr="00073FDB">
        <w:t>Obrazac za praćenje statusa rizika</w:t>
      </w:r>
    </w:p>
    <w:p w14:paraId="0745B019" w14:textId="557767D7" w:rsidR="003B5CF5" w:rsidRDefault="003B5CF5" w:rsidP="003B5CF5">
      <w:r w:rsidRPr="00576E9F">
        <w:rPr>
          <w:b/>
        </w:rPr>
        <w:t>Prilog 3.</w:t>
      </w:r>
      <w:r>
        <w:t xml:space="preserve"> </w:t>
      </w:r>
      <w:r w:rsidR="00B51694">
        <w:t>Obrazac Registra</w:t>
      </w:r>
      <w:r w:rsidR="00B51694" w:rsidRPr="00080588">
        <w:t xml:space="preserve"> rizika</w:t>
      </w:r>
    </w:p>
    <w:p w14:paraId="4E9ADD1C" w14:textId="3348373C" w:rsidR="00B51694" w:rsidRDefault="00B51694">
      <w:pPr>
        <w:spacing w:line="259" w:lineRule="auto"/>
        <w:jc w:val="left"/>
        <w:rPr>
          <w:rFonts w:ascii="Calibri" w:hAnsi="Calibri" w:cs="Calibri"/>
          <w:color w:val="000000"/>
          <w:szCs w:val="24"/>
        </w:rPr>
      </w:pPr>
      <w:r>
        <w:br w:type="page"/>
      </w:r>
    </w:p>
    <w:p w14:paraId="11F10302" w14:textId="77777777" w:rsidR="00B51694" w:rsidRDefault="00B51694" w:rsidP="00A01B7A">
      <w:pPr>
        <w:pStyle w:val="Default"/>
        <w:sectPr w:rsidR="00B516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3FBB4" w14:textId="77777777" w:rsidR="00B51694" w:rsidRDefault="00B51694" w:rsidP="00B51694">
      <w:pPr>
        <w:rPr>
          <w:rFonts w:ascii="TimesNewRomanPSMT" w:hAnsi="TimesNewRomanPSMT" w:cs="TimesNewRomanPSMT"/>
          <w:szCs w:val="24"/>
        </w:rPr>
      </w:pPr>
      <w:r w:rsidRPr="00576E9F">
        <w:rPr>
          <w:b/>
        </w:rPr>
        <w:lastRenderedPageBreak/>
        <w:t>Prilog 1</w:t>
      </w:r>
      <w:r>
        <w:t xml:space="preserve">. </w:t>
      </w:r>
      <w:r>
        <w:rPr>
          <w:rFonts w:ascii="TimesNewRomanPSMT" w:hAnsi="TimesNewRomanPSMT" w:cs="TimesNewRomanPSMT"/>
          <w:szCs w:val="24"/>
        </w:rPr>
        <w:t>Obrazac za utvrđivanje i procjenu rizika</w:t>
      </w:r>
    </w:p>
    <w:p w14:paraId="4E758139" w14:textId="77777777" w:rsidR="0089637C" w:rsidRDefault="0089637C" w:rsidP="00B51694"/>
    <w:tbl>
      <w:tblPr>
        <w:tblStyle w:val="Reetkatablice"/>
        <w:tblW w:w="14884" w:type="dxa"/>
        <w:tblInd w:w="-572" w:type="dxa"/>
        <w:tblLook w:val="04A0" w:firstRow="1" w:lastRow="0" w:firstColumn="1" w:lastColumn="0" w:noHBand="0" w:noVBand="1"/>
      </w:tblPr>
      <w:tblGrid>
        <w:gridCol w:w="1653"/>
        <w:gridCol w:w="1654"/>
        <w:gridCol w:w="1355"/>
        <w:gridCol w:w="299"/>
        <w:gridCol w:w="1654"/>
        <w:gridCol w:w="1653"/>
        <w:gridCol w:w="1654"/>
        <w:gridCol w:w="1654"/>
        <w:gridCol w:w="1654"/>
        <w:gridCol w:w="1654"/>
      </w:tblGrid>
      <w:tr w:rsidR="00B51694" w:rsidRPr="00B51694" w14:paraId="1B935CA9" w14:textId="77777777" w:rsidTr="0089637C">
        <w:tc>
          <w:tcPr>
            <w:tcW w:w="4662" w:type="dxa"/>
            <w:gridSpan w:val="3"/>
          </w:tcPr>
          <w:p w14:paraId="5C52C092" w14:textId="77777777" w:rsidR="00B51694" w:rsidRPr="00B51694" w:rsidRDefault="00B51694" w:rsidP="00B516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Utvrđivanje rizika</w:t>
            </w:r>
          </w:p>
          <w:p w14:paraId="27794C76" w14:textId="06958FB1" w:rsidR="00B51694" w:rsidRPr="00B51694" w:rsidRDefault="00B51694" w:rsidP="00B516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2" w:type="dxa"/>
            <w:gridSpan w:val="7"/>
          </w:tcPr>
          <w:p w14:paraId="303C7CFA" w14:textId="34B9B912" w:rsidR="00B51694" w:rsidRPr="00B51694" w:rsidRDefault="00B51694" w:rsidP="00B516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Procjena rizika</w:t>
            </w:r>
          </w:p>
        </w:tc>
      </w:tr>
      <w:tr w:rsidR="00B51694" w:rsidRPr="00B51694" w14:paraId="204F8561" w14:textId="77777777" w:rsidTr="0089637C">
        <w:tc>
          <w:tcPr>
            <w:tcW w:w="1653" w:type="dxa"/>
          </w:tcPr>
          <w:p w14:paraId="3884E80E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Rizik</w:t>
            </w:r>
          </w:p>
          <w:p w14:paraId="7F569110" w14:textId="1E358A83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599ADA10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Uzrok</w:t>
            </w:r>
          </w:p>
          <w:p w14:paraId="37081291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2"/>
          </w:tcPr>
          <w:p w14:paraId="6717FA97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Posljedica</w:t>
            </w:r>
          </w:p>
          <w:p w14:paraId="4BBD12FA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2C00ED21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 xml:space="preserve">Faktori </w:t>
            </w:r>
          </w:p>
          <w:p w14:paraId="3A95D398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rizičnosti</w:t>
            </w:r>
          </w:p>
          <w:p w14:paraId="2F8DD38B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14:paraId="73CB0B60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Pokazatelji</w:t>
            </w:r>
          </w:p>
          <w:p w14:paraId="6EF9435A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6568DE49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Učinak</w:t>
            </w:r>
          </w:p>
          <w:p w14:paraId="6B99B4F3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08933AD9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Vjerojatnost</w:t>
            </w:r>
          </w:p>
          <w:p w14:paraId="02BFC5CB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23BDCDA7" w14:textId="74CA4844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izloženost</w:t>
            </w:r>
            <w:r w:rsidRPr="00B51694">
              <w:rPr>
                <w:rFonts w:ascii="Times New Roman" w:hAnsi="Times New Roman" w:cs="Times New Roman"/>
                <w:b/>
              </w:rPr>
              <w:t xml:space="preserve"> s </w:t>
            </w:r>
          </w:p>
          <w:p w14:paraId="438757C9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financijskim učinkom</w:t>
            </w:r>
          </w:p>
          <w:p w14:paraId="1213A56F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070F8C46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 xml:space="preserve">Područje </w:t>
            </w:r>
          </w:p>
          <w:p w14:paraId="7A85143F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 xml:space="preserve">učinka/ </w:t>
            </w:r>
          </w:p>
          <w:p w14:paraId="16BE5F02" w14:textId="5E66A54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694">
              <w:rPr>
                <w:rFonts w:ascii="Times New Roman" w:hAnsi="Times New Roman" w:cs="Times New Roman"/>
                <w:b/>
              </w:rPr>
              <w:t>utjecaja</w:t>
            </w:r>
          </w:p>
        </w:tc>
      </w:tr>
      <w:tr w:rsidR="00B51694" w:rsidRPr="00B51694" w14:paraId="08C4D61C" w14:textId="77777777" w:rsidTr="0089637C">
        <w:tc>
          <w:tcPr>
            <w:tcW w:w="1653" w:type="dxa"/>
          </w:tcPr>
          <w:p w14:paraId="25BC8FD0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4DE5F388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</w:tcPr>
          <w:p w14:paraId="09BC8180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FC0BDDB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4040306F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798EDCCD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78B99370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025A3058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58FD4ECC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1694" w:rsidRPr="00B51694" w14:paraId="6225AC86" w14:textId="77777777" w:rsidTr="0089637C">
        <w:tc>
          <w:tcPr>
            <w:tcW w:w="1653" w:type="dxa"/>
          </w:tcPr>
          <w:p w14:paraId="0256AD2B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523DF88D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</w:tcPr>
          <w:p w14:paraId="2E752054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5E65FE98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9E50362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31BF8B3D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1C4D6553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034E38A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809FC6C" w14:textId="77777777" w:rsidR="00B51694" w:rsidRPr="00B51694" w:rsidRDefault="00B51694" w:rsidP="00B5169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1694" w14:paraId="5A8B731F" w14:textId="77777777" w:rsidTr="0089637C">
        <w:tc>
          <w:tcPr>
            <w:tcW w:w="1653" w:type="dxa"/>
          </w:tcPr>
          <w:p w14:paraId="5A588318" w14:textId="77777777" w:rsidR="00B51694" w:rsidRDefault="00B51694" w:rsidP="00A01B7A">
            <w:pPr>
              <w:pStyle w:val="Default"/>
            </w:pPr>
          </w:p>
        </w:tc>
        <w:tc>
          <w:tcPr>
            <w:tcW w:w="1654" w:type="dxa"/>
          </w:tcPr>
          <w:p w14:paraId="10AA1793" w14:textId="77777777" w:rsidR="00B51694" w:rsidRDefault="00B51694" w:rsidP="00A01B7A">
            <w:pPr>
              <w:pStyle w:val="Default"/>
            </w:pPr>
          </w:p>
        </w:tc>
        <w:tc>
          <w:tcPr>
            <w:tcW w:w="1654" w:type="dxa"/>
            <w:gridSpan w:val="2"/>
          </w:tcPr>
          <w:p w14:paraId="68570C6F" w14:textId="77777777" w:rsidR="00B51694" w:rsidRDefault="00B51694" w:rsidP="00A01B7A">
            <w:pPr>
              <w:pStyle w:val="Default"/>
            </w:pPr>
          </w:p>
        </w:tc>
        <w:tc>
          <w:tcPr>
            <w:tcW w:w="1654" w:type="dxa"/>
          </w:tcPr>
          <w:p w14:paraId="6E84FAB4" w14:textId="77777777" w:rsidR="00B51694" w:rsidRDefault="00B51694" w:rsidP="00A01B7A">
            <w:pPr>
              <w:pStyle w:val="Default"/>
            </w:pPr>
          </w:p>
        </w:tc>
        <w:tc>
          <w:tcPr>
            <w:tcW w:w="1653" w:type="dxa"/>
          </w:tcPr>
          <w:p w14:paraId="7E92B94F" w14:textId="77777777" w:rsidR="00B51694" w:rsidRDefault="00B51694" w:rsidP="00A01B7A">
            <w:pPr>
              <w:pStyle w:val="Default"/>
            </w:pPr>
          </w:p>
        </w:tc>
        <w:tc>
          <w:tcPr>
            <w:tcW w:w="1654" w:type="dxa"/>
          </w:tcPr>
          <w:p w14:paraId="5DDBF785" w14:textId="77777777" w:rsidR="00B51694" w:rsidRDefault="00B51694" w:rsidP="00A01B7A">
            <w:pPr>
              <w:pStyle w:val="Default"/>
            </w:pPr>
          </w:p>
        </w:tc>
        <w:tc>
          <w:tcPr>
            <w:tcW w:w="1654" w:type="dxa"/>
          </w:tcPr>
          <w:p w14:paraId="5AB391D7" w14:textId="77777777" w:rsidR="00B51694" w:rsidRDefault="00B51694" w:rsidP="00A01B7A">
            <w:pPr>
              <w:pStyle w:val="Default"/>
            </w:pPr>
          </w:p>
        </w:tc>
        <w:tc>
          <w:tcPr>
            <w:tcW w:w="1654" w:type="dxa"/>
          </w:tcPr>
          <w:p w14:paraId="35EECDDB" w14:textId="77777777" w:rsidR="00B51694" w:rsidRDefault="00B51694" w:rsidP="00A01B7A">
            <w:pPr>
              <w:pStyle w:val="Default"/>
            </w:pPr>
          </w:p>
        </w:tc>
        <w:tc>
          <w:tcPr>
            <w:tcW w:w="1654" w:type="dxa"/>
          </w:tcPr>
          <w:p w14:paraId="255C21DA" w14:textId="77777777" w:rsidR="00B51694" w:rsidRDefault="00B51694" w:rsidP="00A01B7A">
            <w:pPr>
              <w:pStyle w:val="Default"/>
            </w:pPr>
          </w:p>
        </w:tc>
      </w:tr>
    </w:tbl>
    <w:p w14:paraId="747BC479" w14:textId="1855BA94" w:rsidR="0089637C" w:rsidRDefault="0089637C" w:rsidP="00A01B7A">
      <w:pPr>
        <w:pStyle w:val="Default"/>
      </w:pPr>
    </w:p>
    <w:p w14:paraId="2BE376C4" w14:textId="77777777" w:rsidR="0089637C" w:rsidRDefault="0089637C">
      <w:pPr>
        <w:spacing w:line="259" w:lineRule="auto"/>
        <w:jc w:val="left"/>
        <w:rPr>
          <w:rFonts w:ascii="Calibri" w:hAnsi="Calibri" w:cs="Calibri"/>
          <w:color w:val="000000"/>
          <w:szCs w:val="24"/>
        </w:rPr>
      </w:pPr>
      <w:r>
        <w:br w:type="page"/>
      </w:r>
    </w:p>
    <w:p w14:paraId="27AE3F6B" w14:textId="77777777" w:rsidR="0089637C" w:rsidRDefault="0089637C" w:rsidP="0089637C">
      <w:r w:rsidRPr="00576E9F">
        <w:rPr>
          <w:b/>
        </w:rPr>
        <w:lastRenderedPageBreak/>
        <w:t>Prilog 2.</w:t>
      </w:r>
      <w:r>
        <w:t xml:space="preserve"> </w:t>
      </w:r>
      <w:r w:rsidRPr="00073FDB">
        <w:t>Obrazac za praćenje statusa rizika</w:t>
      </w:r>
    </w:p>
    <w:p w14:paraId="378C318D" w14:textId="38422966" w:rsidR="00A01B7A" w:rsidRDefault="0089637C" w:rsidP="0089637C">
      <w:pPr>
        <w:pStyle w:val="Default"/>
        <w:jc w:val="center"/>
        <w:rPr>
          <w:rFonts w:ascii="Times New Roman" w:hAnsi="Times New Roman" w:cs="Times New Roman"/>
          <w:b/>
        </w:rPr>
      </w:pPr>
      <w:r w:rsidRPr="0089637C">
        <w:rPr>
          <w:rFonts w:ascii="Times New Roman" w:hAnsi="Times New Roman" w:cs="Times New Roman"/>
          <w:b/>
        </w:rPr>
        <w:t>Praćenje statusa rizika za razdoblje ________________(npr. 01.01.20</w:t>
      </w:r>
      <w:r w:rsidR="002E0A1F">
        <w:rPr>
          <w:rFonts w:ascii="Times New Roman" w:hAnsi="Times New Roman" w:cs="Times New Roman"/>
          <w:b/>
        </w:rPr>
        <w:t>24</w:t>
      </w:r>
      <w:r w:rsidRPr="0089637C">
        <w:rPr>
          <w:rFonts w:ascii="Times New Roman" w:hAnsi="Times New Roman" w:cs="Times New Roman"/>
          <w:b/>
        </w:rPr>
        <w:t>. – 31.12.20</w:t>
      </w:r>
      <w:r w:rsidR="002E0A1F">
        <w:rPr>
          <w:rFonts w:ascii="Times New Roman" w:hAnsi="Times New Roman" w:cs="Times New Roman"/>
          <w:b/>
        </w:rPr>
        <w:t>24</w:t>
      </w:r>
      <w:r w:rsidRPr="0089637C">
        <w:rPr>
          <w:rFonts w:ascii="Times New Roman" w:hAnsi="Times New Roman" w:cs="Times New Roman"/>
          <w:b/>
        </w:rPr>
        <w:t>.)</w:t>
      </w:r>
    </w:p>
    <w:p w14:paraId="67236A47" w14:textId="77777777" w:rsidR="0089637C" w:rsidRDefault="0089637C" w:rsidP="0089637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16"/>
        <w:gridCol w:w="1517"/>
        <w:gridCol w:w="1517"/>
        <w:gridCol w:w="1404"/>
        <w:gridCol w:w="1843"/>
        <w:gridCol w:w="1303"/>
        <w:gridCol w:w="1517"/>
        <w:gridCol w:w="1716"/>
        <w:gridCol w:w="1318"/>
        <w:gridCol w:w="1517"/>
      </w:tblGrid>
      <w:tr w:rsidR="0089637C" w:rsidRPr="00B51694" w14:paraId="6883DED4" w14:textId="77777777" w:rsidTr="0089637C">
        <w:tc>
          <w:tcPr>
            <w:tcW w:w="1516" w:type="dxa"/>
          </w:tcPr>
          <w:p w14:paraId="257586C6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Rizik </w:t>
            </w:r>
          </w:p>
          <w:p w14:paraId="4787EA71" w14:textId="68B9E6C3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14:paraId="439D5CDB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Prethodna </w:t>
            </w:r>
          </w:p>
          <w:p w14:paraId="07001800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procjena </w:t>
            </w:r>
          </w:p>
          <w:p w14:paraId="29A574B2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>rizika</w:t>
            </w:r>
          </w:p>
          <w:p w14:paraId="05FB2172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14:paraId="23DB2B3C" w14:textId="1197C206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Mjere za ublažavanje rizika </w:t>
            </w:r>
          </w:p>
          <w:p w14:paraId="777446A5" w14:textId="77777777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14:paraId="350BEADF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Status </w:t>
            </w:r>
          </w:p>
          <w:p w14:paraId="253E43DB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provedbe </w:t>
            </w:r>
          </w:p>
          <w:p w14:paraId="60BDF00A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mjera* </w:t>
            </w:r>
          </w:p>
          <w:p w14:paraId="6BF4956D" w14:textId="77777777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3C783C8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Obrazloženje za </w:t>
            </w:r>
          </w:p>
          <w:p w14:paraId="3817623A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neprovedene ili </w:t>
            </w:r>
          </w:p>
          <w:p w14:paraId="74202B5A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djelomično </w:t>
            </w:r>
          </w:p>
          <w:p w14:paraId="1F482EEE" w14:textId="23B7EE5F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>provedene mjere</w:t>
            </w:r>
          </w:p>
        </w:tc>
        <w:tc>
          <w:tcPr>
            <w:tcW w:w="1303" w:type="dxa"/>
          </w:tcPr>
          <w:p w14:paraId="2AEAEA0F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Nova </w:t>
            </w:r>
          </w:p>
          <w:p w14:paraId="1122051D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procjena </w:t>
            </w:r>
          </w:p>
          <w:p w14:paraId="612ADDD5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>rizika</w:t>
            </w:r>
          </w:p>
          <w:p w14:paraId="576056C5" w14:textId="77777777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14:paraId="34A4F914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Status </w:t>
            </w:r>
          </w:p>
          <w:p w14:paraId="37F43D8C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izl</w:t>
            </w:r>
            <w:r w:rsidRPr="0089637C">
              <w:rPr>
                <w:rFonts w:ascii="Times New Roman" w:hAnsi="Times New Roman" w:cs="Times New Roman"/>
                <w:b/>
              </w:rPr>
              <w:t xml:space="preserve">oženosti </w:t>
            </w:r>
          </w:p>
          <w:p w14:paraId="2FE9F010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>riziku</w:t>
            </w:r>
          </w:p>
          <w:p w14:paraId="2896E6A0" w14:textId="77777777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14:paraId="08360673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Nove mjere za </w:t>
            </w:r>
          </w:p>
          <w:p w14:paraId="1BA2274C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ublažavanje </w:t>
            </w:r>
          </w:p>
          <w:p w14:paraId="36CA46F5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rizika </w:t>
            </w:r>
          </w:p>
          <w:p w14:paraId="4E2A5E0B" w14:textId="77777777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6E1CE8D6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Rokovi </w:t>
            </w:r>
          </w:p>
          <w:p w14:paraId="211CF325" w14:textId="77777777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14:paraId="3ED6AB05" w14:textId="77777777" w:rsidR="0089637C" w:rsidRP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 xml:space="preserve">Odgovorne </w:t>
            </w:r>
          </w:p>
          <w:p w14:paraId="6752A4A9" w14:textId="4C6BB309" w:rsidR="0089637C" w:rsidRPr="00B51694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637C">
              <w:rPr>
                <w:rFonts w:ascii="Times New Roman" w:hAnsi="Times New Roman" w:cs="Times New Roman"/>
                <w:b/>
              </w:rPr>
              <w:t>osobe</w:t>
            </w:r>
          </w:p>
        </w:tc>
      </w:tr>
      <w:tr w:rsidR="0089637C" w:rsidRPr="00B51694" w14:paraId="77C05BAF" w14:textId="77777777" w:rsidTr="0089637C">
        <w:tc>
          <w:tcPr>
            <w:tcW w:w="1516" w:type="dxa"/>
          </w:tcPr>
          <w:p w14:paraId="26085963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A6E1FAA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2959F3CC" w14:textId="0E3ECDE9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7AEAA1DD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508370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29CF25BF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0AE7E3DC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D1D2FBB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3BD1DB4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9297D7F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37C" w:rsidRPr="00B51694" w14:paraId="7D8117BE" w14:textId="77777777" w:rsidTr="0089637C">
        <w:tc>
          <w:tcPr>
            <w:tcW w:w="1516" w:type="dxa"/>
          </w:tcPr>
          <w:p w14:paraId="298A2DA7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3D2BEC0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5063ADB" w14:textId="0DC18332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4B0CBF92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1E1FFA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5BD8EC9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041BB47A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5E75EBF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82AA898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7929593" w14:textId="77777777" w:rsidR="0089637C" w:rsidRPr="00B51694" w:rsidRDefault="0089637C" w:rsidP="00D228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37C" w14:paraId="7D6E9EB2" w14:textId="77777777" w:rsidTr="0089637C">
        <w:tc>
          <w:tcPr>
            <w:tcW w:w="1516" w:type="dxa"/>
          </w:tcPr>
          <w:p w14:paraId="5C78D114" w14:textId="77777777" w:rsidR="0089637C" w:rsidRDefault="0089637C" w:rsidP="00D228AA">
            <w:pPr>
              <w:pStyle w:val="Default"/>
            </w:pPr>
          </w:p>
        </w:tc>
        <w:tc>
          <w:tcPr>
            <w:tcW w:w="1517" w:type="dxa"/>
          </w:tcPr>
          <w:p w14:paraId="4E829012" w14:textId="77777777" w:rsidR="0089637C" w:rsidRDefault="0089637C" w:rsidP="00D228AA">
            <w:pPr>
              <w:pStyle w:val="Default"/>
            </w:pPr>
          </w:p>
        </w:tc>
        <w:tc>
          <w:tcPr>
            <w:tcW w:w="1517" w:type="dxa"/>
          </w:tcPr>
          <w:p w14:paraId="21F9CC40" w14:textId="56EC9E52" w:rsidR="0089637C" w:rsidRDefault="0089637C" w:rsidP="00D228AA">
            <w:pPr>
              <w:pStyle w:val="Default"/>
            </w:pPr>
          </w:p>
        </w:tc>
        <w:tc>
          <w:tcPr>
            <w:tcW w:w="1404" w:type="dxa"/>
          </w:tcPr>
          <w:p w14:paraId="071D80E1" w14:textId="77777777" w:rsidR="0089637C" w:rsidRDefault="0089637C" w:rsidP="00D228AA">
            <w:pPr>
              <w:pStyle w:val="Default"/>
            </w:pPr>
          </w:p>
        </w:tc>
        <w:tc>
          <w:tcPr>
            <w:tcW w:w="1843" w:type="dxa"/>
          </w:tcPr>
          <w:p w14:paraId="11E5F21C" w14:textId="77777777" w:rsidR="0089637C" w:rsidRDefault="0089637C" w:rsidP="00D228AA">
            <w:pPr>
              <w:pStyle w:val="Default"/>
            </w:pPr>
          </w:p>
        </w:tc>
        <w:tc>
          <w:tcPr>
            <w:tcW w:w="1303" w:type="dxa"/>
          </w:tcPr>
          <w:p w14:paraId="3D85E2C1" w14:textId="77777777" w:rsidR="0089637C" w:rsidRDefault="0089637C" w:rsidP="00D228AA">
            <w:pPr>
              <w:pStyle w:val="Default"/>
            </w:pPr>
          </w:p>
        </w:tc>
        <w:tc>
          <w:tcPr>
            <w:tcW w:w="1517" w:type="dxa"/>
          </w:tcPr>
          <w:p w14:paraId="5458E3FF" w14:textId="77777777" w:rsidR="0089637C" w:rsidRDefault="0089637C" w:rsidP="00D228AA">
            <w:pPr>
              <w:pStyle w:val="Default"/>
            </w:pPr>
          </w:p>
        </w:tc>
        <w:tc>
          <w:tcPr>
            <w:tcW w:w="1716" w:type="dxa"/>
          </w:tcPr>
          <w:p w14:paraId="712F9E54" w14:textId="77777777" w:rsidR="0089637C" w:rsidRDefault="0089637C" w:rsidP="00D228AA">
            <w:pPr>
              <w:pStyle w:val="Default"/>
            </w:pPr>
          </w:p>
        </w:tc>
        <w:tc>
          <w:tcPr>
            <w:tcW w:w="1318" w:type="dxa"/>
          </w:tcPr>
          <w:p w14:paraId="4AD9DD8C" w14:textId="77777777" w:rsidR="0089637C" w:rsidRDefault="0089637C" w:rsidP="00D228AA">
            <w:pPr>
              <w:pStyle w:val="Default"/>
            </w:pPr>
          </w:p>
        </w:tc>
        <w:tc>
          <w:tcPr>
            <w:tcW w:w="1517" w:type="dxa"/>
          </w:tcPr>
          <w:p w14:paraId="23152664" w14:textId="77777777" w:rsidR="0089637C" w:rsidRDefault="0089637C" w:rsidP="00D228AA">
            <w:pPr>
              <w:pStyle w:val="Default"/>
            </w:pPr>
          </w:p>
        </w:tc>
      </w:tr>
    </w:tbl>
    <w:p w14:paraId="1C1AB3B4" w14:textId="77777777" w:rsidR="0089637C" w:rsidRDefault="0089637C" w:rsidP="0089637C">
      <w:pPr>
        <w:pStyle w:val="Default"/>
        <w:rPr>
          <w:rFonts w:ascii="Times New Roman" w:hAnsi="Times New Roman" w:cs="Times New Roman"/>
        </w:rPr>
      </w:pPr>
    </w:p>
    <w:p w14:paraId="2F5EE242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>Napomene:</w:t>
      </w:r>
    </w:p>
    <w:p w14:paraId="6AD5B61A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D88A787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>*Mjere za ublažavanje rizika mogu biti u statusu: provedene, djelomično provedene ili neprovedene. Za neprovedene ili djelomično provedene mjere potrebno je dostaviti i obrazloženje razloga neprovođenja ili djelomičnog provođenja mjera.</w:t>
      </w:r>
    </w:p>
    <w:p w14:paraId="5F5329B9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41D8028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 xml:space="preserve">** Status rizika odnosi se na razinu izloženosti riziku koja u zavisnosti jesu li mjere za ublažavanje rizika provedene i koliko cjelovito te jesu li nastupile nove okolnosti koje mogu utjecati na razinu izloženosti riziku može biti smanjena, povećana ili nepromijenjena razina izloženosti riziku. </w:t>
      </w:r>
    </w:p>
    <w:p w14:paraId="326786E9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8AF55A3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 xml:space="preserve">Na temelju podataka sadržanih u obrascu za praćenje statusa rizika ažuriraju se podaci u registru rizika. </w:t>
      </w:r>
    </w:p>
    <w:p w14:paraId="6DB9BC53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97AB9F6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4B12432" w14:textId="09752283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>Datum:</w:t>
      </w:r>
    </w:p>
    <w:p w14:paraId="443CC4F2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A5C42B1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707764C7" w14:textId="4CA61FB1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 xml:space="preserve">Pripremio: </w:t>
      </w:r>
    </w:p>
    <w:p w14:paraId="2C454CED" w14:textId="77777777" w:rsidR="0089637C" w:rsidRDefault="0089637C" w:rsidP="0089637C">
      <w:bookmarkStart w:id="2" w:name="_Hlk155357804"/>
      <w:r w:rsidRPr="00576E9F">
        <w:rPr>
          <w:b/>
        </w:rPr>
        <w:lastRenderedPageBreak/>
        <w:t>Prilog 3.</w:t>
      </w:r>
      <w:r>
        <w:t xml:space="preserve"> Obrazac Registra</w:t>
      </w:r>
      <w:r w:rsidRPr="00080588">
        <w:t xml:space="preserve"> rizika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89637C" w14:paraId="73C6AAC8" w14:textId="77777777" w:rsidTr="0089637C">
        <w:tc>
          <w:tcPr>
            <w:tcW w:w="1749" w:type="dxa"/>
          </w:tcPr>
          <w:p w14:paraId="0B88BEAD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>Rizik</w:t>
            </w:r>
          </w:p>
          <w:p w14:paraId="3AA35DED" w14:textId="77777777" w:rsidR="0089637C" w:rsidRDefault="0089637C" w:rsidP="0089637C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1749" w:type="dxa"/>
          </w:tcPr>
          <w:p w14:paraId="5AC0AA63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Vrsta </w:t>
            </w:r>
          </w:p>
          <w:p w14:paraId="2C556E22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szCs w:val="28"/>
                <w:lang w:eastAsia="hr-HR"/>
              </w:rPr>
              <w:t>Strateški/</w:t>
            </w:r>
          </w:p>
          <w:p w14:paraId="646EE3D8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szCs w:val="28"/>
                <w:lang w:eastAsia="hr-HR"/>
              </w:rPr>
              <w:t>operativni</w:t>
            </w:r>
          </w:p>
          <w:p w14:paraId="2857206B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991CC56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Opis rizika </w:t>
            </w:r>
          </w:p>
          <w:p w14:paraId="3958B7AA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szCs w:val="28"/>
                <w:lang w:eastAsia="hr-HR"/>
              </w:rPr>
              <w:t>(uzrok i posljedice)</w:t>
            </w:r>
          </w:p>
          <w:p w14:paraId="3183821D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5822DE39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Ukupna izloženost </w:t>
            </w:r>
          </w:p>
          <w:p w14:paraId="4CB41B2E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>riziku</w:t>
            </w:r>
          </w:p>
          <w:p w14:paraId="1D2352D3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2A74689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Područje utjecaja </w:t>
            </w:r>
          </w:p>
          <w:p w14:paraId="2649C50C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rizika i procijenjeni </w:t>
            </w:r>
          </w:p>
          <w:p w14:paraId="77191793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>financijski učinci</w:t>
            </w:r>
          </w:p>
          <w:p w14:paraId="6F2D3CA5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15AF8770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Mjere za </w:t>
            </w:r>
          </w:p>
          <w:p w14:paraId="09EB831F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postupanje po </w:t>
            </w:r>
          </w:p>
          <w:p w14:paraId="2B11EEEA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>riziku</w:t>
            </w:r>
          </w:p>
          <w:p w14:paraId="357C7789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59641AF5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Odgovorne </w:t>
            </w:r>
          </w:p>
          <w:p w14:paraId="706B17AC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osobe za </w:t>
            </w:r>
          </w:p>
          <w:p w14:paraId="57780630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>provedbu mjera</w:t>
            </w:r>
          </w:p>
          <w:p w14:paraId="03028456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40348E9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Rok </w:t>
            </w:r>
          </w:p>
          <w:p w14:paraId="0D10C7EC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 xml:space="preserve">provedbe </w:t>
            </w:r>
          </w:p>
          <w:p w14:paraId="57D261D4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>mjera</w:t>
            </w:r>
          </w:p>
          <w:p w14:paraId="3CFFEB97" w14:textId="77777777" w:rsidR="0089637C" w:rsidRPr="0089637C" w:rsidRDefault="0089637C" w:rsidP="0089637C">
            <w:pPr>
              <w:spacing w:line="240" w:lineRule="auto"/>
              <w:jc w:val="left"/>
              <w:rPr>
                <w:rFonts w:eastAsia="Times New Roman" w:cs="Times New Roman"/>
                <w:b/>
                <w:szCs w:val="28"/>
                <w:lang w:eastAsia="hr-HR"/>
              </w:rPr>
            </w:pPr>
            <w:r w:rsidRPr="0089637C">
              <w:rPr>
                <w:rFonts w:eastAsia="Times New Roman" w:cs="Times New Roman"/>
                <w:b/>
                <w:szCs w:val="28"/>
                <w:lang w:eastAsia="hr-HR"/>
              </w:rPr>
              <w:t>*</w:t>
            </w:r>
          </w:p>
          <w:p w14:paraId="129B8840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37C" w14:paraId="7D349FF5" w14:textId="77777777" w:rsidTr="0089637C">
        <w:tc>
          <w:tcPr>
            <w:tcW w:w="1749" w:type="dxa"/>
          </w:tcPr>
          <w:p w14:paraId="2792BFF5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3DAD2E0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3CD8B00B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5FE67993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7D2E59A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60BF1FAF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1F2F5524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75E21460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37C" w14:paraId="01629534" w14:textId="77777777" w:rsidTr="0089637C">
        <w:tc>
          <w:tcPr>
            <w:tcW w:w="1749" w:type="dxa"/>
          </w:tcPr>
          <w:p w14:paraId="66E96839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350340A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56E93B99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CA03FDD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3ABECE9D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50921E5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A662543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BB0315E" w14:textId="77777777" w:rsidR="0089637C" w:rsidRDefault="0089637C" w:rsidP="0089637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3EB16C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1DA902A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 xml:space="preserve">* Rokovi za provedbu mjera za ublažavanje strateških rizika mogu biti kratkoročni, srednjoročni i dugoročni </w:t>
      </w:r>
    </w:p>
    <w:p w14:paraId="7BDD372F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9AFB8F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4B195F6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8D98522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 xml:space="preserve">Datum: </w:t>
      </w:r>
    </w:p>
    <w:p w14:paraId="2BD2BF55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F02E5DD" w14:textId="77777777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625A720" w14:textId="77777777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1A9B183" w14:textId="560BC49B" w:rsidR="0089637C" w:rsidRP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  <w:r w:rsidRPr="0089637C">
        <w:rPr>
          <w:rFonts w:ascii="Times New Roman" w:hAnsi="Times New Roman" w:cs="Times New Roman"/>
        </w:rPr>
        <w:t>Pripremio: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37C">
        <w:rPr>
          <w:rFonts w:ascii="Times New Roman" w:hAnsi="Times New Roman" w:cs="Times New Roman"/>
        </w:rPr>
        <w:t>Odobrio:</w:t>
      </w:r>
    </w:p>
    <w:p w14:paraId="5BD53614" w14:textId="53F679C1" w:rsidR="0089637C" w:rsidRDefault="0089637C" w:rsidP="0089637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D8968BE" w14:textId="7915A892" w:rsidR="0089637C" w:rsidRPr="0089637C" w:rsidRDefault="00FD446A" w:rsidP="0089637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9637C">
        <w:rPr>
          <w:rFonts w:ascii="Times New Roman" w:hAnsi="Times New Roman" w:cs="Times New Roman"/>
        </w:rPr>
        <w:t>Pročelnik</w:t>
      </w:r>
      <w:r>
        <w:rPr>
          <w:rFonts w:ascii="Times New Roman" w:hAnsi="Times New Roman" w:cs="Times New Roman"/>
        </w:rPr>
        <w:t>)</w:t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(</w:t>
      </w:r>
      <w:r w:rsidR="0089637C">
        <w:rPr>
          <w:rFonts w:ascii="Times New Roman" w:hAnsi="Times New Roman" w:cs="Times New Roman"/>
        </w:rPr>
        <w:t>Župan</w:t>
      </w:r>
      <w:r>
        <w:rPr>
          <w:rFonts w:ascii="Times New Roman" w:hAnsi="Times New Roman" w:cs="Times New Roman"/>
        </w:rPr>
        <w:t>)</w:t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r w:rsidR="0089637C">
        <w:rPr>
          <w:rFonts w:ascii="Times New Roman" w:hAnsi="Times New Roman" w:cs="Times New Roman"/>
        </w:rPr>
        <w:tab/>
      </w:r>
      <w:bookmarkEnd w:id="2"/>
    </w:p>
    <w:sectPr w:rsidR="0089637C" w:rsidRPr="0089637C" w:rsidSect="0089637C"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547"/>
    <w:multiLevelType w:val="hybridMultilevel"/>
    <w:tmpl w:val="0218C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04D"/>
    <w:multiLevelType w:val="hybridMultilevel"/>
    <w:tmpl w:val="73448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8F"/>
    <w:multiLevelType w:val="hybridMultilevel"/>
    <w:tmpl w:val="0D523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066A"/>
    <w:multiLevelType w:val="hybridMultilevel"/>
    <w:tmpl w:val="64184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5DED"/>
    <w:multiLevelType w:val="hybridMultilevel"/>
    <w:tmpl w:val="12F22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7C29"/>
    <w:multiLevelType w:val="hybridMultilevel"/>
    <w:tmpl w:val="1944A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1379"/>
    <w:multiLevelType w:val="hybridMultilevel"/>
    <w:tmpl w:val="89144FA2"/>
    <w:lvl w:ilvl="0" w:tplc="E5BE2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4DA"/>
    <w:multiLevelType w:val="hybridMultilevel"/>
    <w:tmpl w:val="F51822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788"/>
    <w:multiLevelType w:val="hybridMultilevel"/>
    <w:tmpl w:val="3BF485FC"/>
    <w:lvl w:ilvl="0" w:tplc="E5BE2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47A0"/>
    <w:multiLevelType w:val="hybridMultilevel"/>
    <w:tmpl w:val="28EC3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36834"/>
    <w:multiLevelType w:val="hybridMultilevel"/>
    <w:tmpl w:val="6B90CD4E"/>
    <w:lvl w:ilvl="0" w:tplc="DC88F234">
      <w:start w:val="18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A3A47BF"/>
    <w:multiLevelType w:val="hybridMultilevel"/>
    <w:tmpl w:val="68A875D8"/>
    <w:lvl w:ilvl="0" w:tplc="E5BE2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35891"/>
    <w:multiLevelType w:val="hybridMultilevel"/>
    <w:tmpl w:val="EF74DBCE"/>
    <w:lvl w:ilvl="0" w:tplc="E5BE2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D38B0"/>
    <w:multiLevelType w:val="hybridMultilevel"/>
    <w:tmpl w:val="D5A00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E372D"/>
    <w:multiLevelType w:val="hybridMultilevel"/>
    <w:tmpl w:val="0C28CB0C"/>
    <w:lvl w:ilvl="0" w:tplc="E5BE2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6349"/>
    <w:multiLevelType w:val="hybridMultilevel"/>
    <w:tmpl w:val="69206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2A0D"/>
    <w:multiLevelType w:val="hybridMultilevel"/>
    <w:tmpl w:val="06FE8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30C3C"/>
    <w:multiLevelType w:val="hybridMultilevel"/>
    <w:tmpl w:val="411EA8BA"/>
    <w:lvl w:ilvl="0" w:tplc="5312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6460"/>
    <w:multiLevelType w:val="hybridMultilevel"/>
    <w:tmpl w:val="D91ED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5437C"/>
    <w:multiLevelType w:val="hybridMultilevel"/>
    <w:tmpl w:val="3BB60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72343"/>
    <w:multiLevelType w:val="hybridMultilevel"/>
    <w:tmpl w:val="CE063750"/>
    <w:lvl w:ilvl="0" w:tplc="E5BE2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826B9"/>
    <w:multiLevelType w:val="hybridMultilevel"/>
    <w:tmpl w:val="205813DA"/>
    <w:lvl w:ilvl="0" w:tplc="E5BE2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10310">
    <w:abstractNumId w:val="5"/>
  </w:num>
  <w:num w:numId="2" w16cid:durableId="1133404905">
    <w:abstractNumId w:val="1"/>
  </w:num>
  <w:num w:numId="3" w16cid:durableId="112865243">
    <w:abstractNumId w:val="21"/>
  </w:num>
  <w:num w:numId="4" w16cid:durableId="1525050804">
    <w:abstractNumId w:val="20"/>
  </w:num>
  <w:num w:numId="5" w16cid:durableId="1201816597">
    <w:abstractNumId w:val="11"/>
  </w:num>
  <w:num w:numId="6" w16cid:durableId="213658496">
    <w:abstractNumId w:val="7"/>
  </w:num>
  <w:num w:numId="7" w16cid:durableId="1504128822">
    <w:abstractNumId w:val="9"/>
  </w:num>
  <w:num w:numId="8" w16cid:durableId="24142561">
    <w:abstractNumId w:val="16"/>
  </w:num>
  <w:num w:numId="9" w16cid:durableId="561647124">
    <w:abstractNumId w:val="0"/>
  </w:num>
  <w:num w:numId="10" w16cid:durableId="1896160780">
    <w:abstractNumId w:val="12"/>
  </w:num>
  <w:num w:numId="11" w16cid:durableId="543296946">
    <w:abstractNumId w:val="10"/>
  </w:num>
  <w:num w:numId="12" w16cid:durableId="23989392">
    <w:abstractNumId w:val="14"/>
  </w:num>
  <w:num w:numId="13" w16cid:durableId="1333293208">
    <w:abstractNumId w:val="4"/>
  </w:num>
  <w:num w:numId="14" w16cid:durableId="463891938">
    <w:abstractNumId w:val="18"/>
  </w:num>
  <w:num w:numId="15" w16cid:durableId="1139227475">
    <w:abstractNumId w:val="3"/>
  </w:num>
  <w:num w:numId="16" w16cid:durableId="1560827683">
    <w:abstractNumId w:val="19"/>
  </w:num>
  <w:num w:numId="17" w16cid:durableId="933048807">
    <w:abstractNumId w:val="13"/>
  </w:num>
  <w:num w:numId="18" w16cid:durableId="349264917">
    <w:abstractNumId w:val="2"/>
  </w:num>
  <w:num w:numId="19" w16cid:durableId="486556053">
    <w:abstractNumId w:val="15"/>
  </w:num>
  <w:num w:numId="20" w16cid:durableId="1895389334">
    <w:abstractNumId w:val="6"/>
  </w:num>
  <w:num w:numId="21" w16cid:durableId="893390512">
    <w:abstractNumId w:val="8"/>
  </w:num>
  <w:num w:numId="22" w16cid:durableId="10462924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8A"/>
    <w:rsid w:val="00073FDB"/>
    <w:rsid w:val="00080588"/>
    <w:rsid w:val="000D6350"/>
    <w:rsid w:val="000E4FBA"/>
    <w:rsid w:val="001410EB"/>
    <w:rsid w:val="001B76E7"/>
    <w:rsid w:val="00255C3D"/>
    <w:rsid w:val="002664DF"/>
    <w:rsid w:val="002E0A1F"/>
    <w:rsid w:val="002E1DC5"/>
    <w:rsid w:val="002E7352"/>
    <w:rsid w:val="00320BEB"/>
    <w:rsid w:val="00370237"/>
    <w:rsid w:val="003B5CF5"/>
    <w:rsid w:val="003E6589"/>
    <w:rsid w:val="004B21A5"/>
    <w:rsid w:val="004B4086"/>
    <w:rsid w:val="005453DE"/>
    <w:rsid w:val="00560C38"/>
    <w:rsid w:val="005C328A"/>
    <w:rsid w:val="005E345C"/>
    <w:rsid w:val="0063486A"/>
    <w:rsid w:val="006603C8"/>
    <w:rsid w:val="00690D00"/>
    <w:rsid w:val="006A57C8"/>
    <w:rsid w:val="00701A18"/>
    <w:rsid w:val="00740E59"/>
    <w:rsid w:val="00747607"/>
    <w:rsid w:val="007A54DC"/>
    <w:rsid w:val="007F5344"/>
    <w:rsid w:val="008015E8"/>
    <w:rsid w:val="00834EEA"/>
    <w:rsid w:val="00835541"/>
    <w:rsid w:val="008367F8"/>
    <w:rsid w:val="0089637C"/>
    <w:rsid w:val="00911A09"/>
    <w:rsid w:val="00994242"/>
    <w:rsid w:val="00A01B7A"/>
    <w:rsid w:val="00A61DF3"/>
    <w:rsid w:val="00A75BFF"/>
    <w:rsid w:val="00AB1B89"/>
    <w:rsid w:val="00B51694"/>
    <w:rsid w:val="00BB2F99"/>
    <w:rsid w:val="00BB33B4"/>
    <w:rsid w:val="00C66BBA"/>
    <w:rsid w:val="00CC4857"/>
    <w:rsid w:val="00CE74C7"/>
    <w:rsid w:val="00D23AE1"/>
    <w:rsid w:val="00DA416F"/>
    <w:rsid w:val="00E536D0"/>
    <w:rsid w:val="00F724D0"/>
    <w:rsid w:val="00FA585A"/>
    <w:rsid w:val="00FB3755"/>
    <w:rsid w:val="00FD446A"/>
    <w:rsid w:val="00FE6104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5C94"/>
  <w15:chartTrackingRefBased/>
  <w15:docId w15:val="{FD2B9142-2951-4F5A-903F-5060FC3D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C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E74C7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2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4DF"/>
    <w:pPr>
      <w:ind w:left="720"/>
      <w:contextualSpacing/>
    </w:pPr>
  </w:style>
  <w:style w:type="paragraph" w:customStyle="1" w:styleId="Default">
    <w:name w:val="Default"/>
    <w:rsid w:val="006A5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7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E74C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B21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uiPriority w:val="1"/>
    <w:qFormat/>
    <w:rsid w:val="004B21A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73F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F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FDB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F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FDB"/>
    <w:rPr>
      <w:rFonts w:ascii="Times New Roman" w:hAnsi="Times New Roman"/>
      <w:b/>
      <w:bCs/>
      <w:sz w:val="20"/>
      <w:szCs w:val="20"/>
    </w:rPr>
  </w:style>
  <w:style w:type="character" w:customStyle="1" w:styleId="st">
    <w:name w:val="st"/>
    <w:basedOn w:val="Zadanifontodlomka"/>
    <w:rsid w:val="00FA585A"/>
  </w:style>
  <w:style w:type="table" w:customStyle="1" w:styleId="TableGrid1">
    <w:name w:val="Table Grid1"/>
    <w:basedOn w:val="Obinatablica"/>
    <w:next w:val="Reetkatablice"/>
    <w:uiPriority w:val="59"/>
    <w:rsid w:val="00A6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Ferk</dc:creator>
  <cp:keywords/>
  <dc:description/>
  <cp:lastModifiedBy>Dijana Zubić</cp:lastModifiedBy>
  <cp:revision>10</cp:revision>
  <cp:lastPrinted>2024-01-08T11:48:00Z</cp:lastPrinted>
  <dcterms:created xsi:type="dcterms:W3CDTF">2024-01-05T13:33:00Z</dcterms:created>
  <dcterms:modified xsi:type="dcterms:W3CDTF">2024-01-08T12:33:00Z</dcterms:modified>
</cp:coreProperties>
</file>