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1"/>
        <w:tblpPr w:leftFromText="180" w:rightFromText="180" w:vertAnchor="text" w:horzAnchor="page" w:tblpX="5903" w:tblpY="-577"/>
        <w:tblW w:w="0" w:type="auto"/>
        <w:tblLook w:val="04A0" w:firstRow="1" w:lastRow="0" w:firstColumn="1" w:lastColumn="0" w:noHBand="0" w:noVBand="1"/>
      </w:tblPr>
      <w:tblGrid>
        <w:gridCol w:w="5280"/>
      </w:tblGrid>
      <w:tr w:rsidR="00B92D0F" w14:paraId="18F9E16A" w14:textId="77777777" w:rsidTr="00B92D0F">
        <w:trPr>
          <w:trHeight w:val="1408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2E589FDE" w14:textId="77777777" w:rsidR="00B92D0F" w:rsidRDefault="00B92D0F" w:rsidP="00B92D0F">
            <w:pPr>
              <w:contextualSpacing/>
              <w:rPr>
                <w:rFonts w:ascii="PDF417x" w:hAnsi="PDF417x"/>
                <w:sz w:val="24"/>
                <w:szCs w:val="24"/>
              </w:rPr>
            </w:pPr>
            <w:bookmarkStart w:id="0" w:name="_Hlk107255613"/>
            <w:r>
              <w:rPr>
                <w:rFonts w:ascii="PDF417x" w:hAnsi="PDF417x"/>
                <w:sz w:val="24"/>
                <w:szCs w:val="24"/>
              </w:rPr>
              <w:t>+*xfs*pvs*Akl*cvA*xBj*qkc*oEa*dvk*ckk*Dak*pBk*-</w:t>
            </w:r>
            <w:r>
              <w:rPr>
                <w:rFonts w:ascii="PDF417x" w:hAnsi="PDF417x"/>
                <w:sz w:val="24"/>
                <w:szCs w:val="24"/>
              </w:rPr>
              <w:br/>
              <w:t>+*yqw*rDx*yaF*ikz*yni*krn*tnm*xbb*ijt*uyb*zew*-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+*eDs*lyd*lyd*lyd*lyd*Bmb*Dds*bai*aki*rma*zfE*-</w:t>
            </w:r>
            <w:r>
              <w:rPr>
                <w:rFonts w:ascii="PDF417x" w:hAnsi="PDF417x"/>
                <w:sz w:val="24"/>
                <w:szCs w:val="24"/>
              </w:rPr>
              <w:br/>
              <w:t>+*ftw*nck*Eas*svb*ssf*nCc*vvC*sxE*nFA*taj*onA*-</w:t>
            </w:r>
            <w:r>
              <w:rPr>
                <w:rFonts w:ascii="PDF417x" w:hAnsi="PDF417x"/>
                <w:sz w:val="24"/>
                <w:szCs w:val="24"/>
              </w:rPr>
              <w:br/>
              <w:t>+*ftA*oxA*roz*ktx*wnr*yEf*wmC*dzb*ycn*trE*uws*-</w:t>
            </w:r>
            <w:r>
              <w:rPr>
                <w:rFonts w:ascii="PDF417x" w:hAnsi="PDF417x"/>
                <w:sz w:val="24"/>
                <w:szCs w:val="24"/>
              </w:rPr>
              <w:br/>
              <w:t>+*xjq*mvy*mzl*cCy*Bsq*rkf*afk*tFz*ECy*gls*uzq*-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  <w:bookmarkEnd w:id="0"/>
    </w:tbl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280"/>
      </w:tblGrid>
      <w:tr w:rsidR="00B92D0F" w:rsidRPr="00B92D0F" w14:paraId="2F6E1E83" w14:textId="77777777" w:rsidTr="00B92D0F">
        <w:trPr>
          <w:trHeight w:val="1408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5BFA6128" w14:textId="77777777" w:rsidR="00B92D0F" w:rsidRPr="00B92D0F" w:rsidRDefault="00B92D0F" w:rsidP="00A836D0">
            <w:pPr>
              <w:contextualSpacing/>
              <w:rPr>
                <w:rFonts w:ascii="PDF417x" w:eastAsia="Times New Roman" w:hAnsi="PDF417x" w:cs="Times New Roman"/>
                <w:sz w:val="24"/>
                <w:szCs w:val="24"/>
              </w:rPr>
            </w:pPr>
          </w:p>
        </w:tc>
      </w:tr>
    </w:tbl>
    <w:p w14:paraId="49B221CD" w14:textId="30EED5AA" w:rsidR="008C5FE5" w:rsidRPr="00B06427" w:rsidRDefault="000E78FB" w:rsidP="00B92D0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6ED0">
        <w:rPr>
          <w:rFonts w:ascii="Arial" w:eastAsia="Calibri" w:hAnsi="Arial" w:cs="Arial"/>
          <w:b/>
        </w:rPr>
        <w:drawing>
          <wp:anchor distT="0" distB="0" distL="114300" distR="114300" simplePos="0" relativeHeight="251673600" behindDoc="1" locked="0" layoutInCell="1" allowOverlap="1" wp14:anchorId="5587B8A4" wp14:editId="7262013D">
            <wp:simplePos x="0" y="0"/>
            <wp:positionH relativeFrom="column">
              <wp:posOffset>1221105</wp:posOffset>
            </wp:positionH>
            <wp:positionV relativeFrom="paragraph">
              <wp:posOffset>17780</wp:posOffset>
            </wp:positionV>
            <wp:extent cx="523875" cy="666750"/>
            <wp:effectExtent l="0" t="0" r="9525" b="0"/>
            <wp:wrapTight wrapText="bothSides">
              <wp:wrapPolygon edited="0">
                <wp:start x="0" y="0"/>
                <wp:lineTo x="0" y="20983"/>
                <wp:lineTo x="21207" y="20983"/>
                <wp:lineTo x="21207" y="0"/>
                <wp:lineTo x="0" y="0"/>
              </wp:wrapPolygon>
            </wp:wrapTight>
            <wp:docPr id="1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767FD09" w14:textId="77777777" w:rsidR="000E78FB" w:rsidRPr="00B06427" w:rsidRDefault="000E78FB" w:rsidP="00B92D0F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</w:p>
    <w:p w14:paraId="218B2EC1" w14:textId="77777777" w:rsidR="000E78FB" w:rsidRPr="00B06427" w:rsidRDefault="000E78FB" w:rsidP="00B92D0F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</w:p>
    <w:p w14:paraId="13EAA78F" w14:textId="77777777" w:rsidR="000E78FB" w:rsidRPr="00B06427" w:rsidRDefault="000E78FB" w:rsidP="00B92D0F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</w:p>
    <w:p w14:paraId="18E4CF3F" w14:textId="77777777" w:rsidR="000E78FB" w:rsidRPr="00B06427" w:rsidRDefault="000E78FB" w:rsidP="00B92D0F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</w:p>
    <w:p w14:paraId="6A6E9730" w14:textId="51AC61CA" w:rsidR="000E78FB" w:rsidRPr="00B06427" w:rsidRDefault="000E78FB" w:rsidP="000E78FB">
      <w:pPr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 w:rsidRPr="00B06427">
        <w:rPr>
          <w:rFonts w:ascii="Times New Roman" w:eastAsia="Calibri" w:hAnsi="Times New Roman" w:cs="Times New Roman"/>
          <w:b/>
          <w:noProof w:val="0"/>
          <w:sz w:val="24"/>
          <w:szCs w:val="24"/>
        </w:rPr>
        <w:t xml:space="preserve">                 REPUBLIKA HRVATSKA</w:t>
      </w:r>
      <w:r w:rsidRPr="00B06427">
        <w:rPr>
          <w:rFonts w:ascii="Times New Roman" w:eastAsia="Calibri" w:hAnsi="Times New Roman" w:cs="Times New Roman"/>
          <w:b/>
          <w:noProof w:val="0"/>
          <w:sz w:val="24"/>
          <w:szCs w:val="24"/>
        </w:rPr>
        <w:br/>
        <w:t xml:space="preserve">      KRAPINSKO-ZAGORSKA ŽUPANIJA</w:t>
      </w:r>
    </w:p>
    <w:p w14:paraId="4D843E9B" w14:textId="47242BAD" w:rsidR="000E78FB" w:rsidRPr="00B06427" w:rsidRDefault="000E78FB" w:rsidP="00EF2895">
      <w:pPr>
        <w:tabs>
          <w:tab w:val="center" w:pos="1843"/>
        </w:tabs>
        <w:rPr>
          <w:rFonts w:ascii="Times New Roman" w:eastAsia="Calibri" w:hAnsi="Times New Roman" w:cs="Times New Roman"/>
          <w:b/>
          <w:bCs/>
          <w:noProof w:val="0"/>
          <w:color w:val="FF0000"/>
          <w:sz w:val="24"/>
          <w:szCs w:val="24"/>
        </w:rPr>
      </w:pPr>
      <w:r w:rsidRPr="00B06427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UPRAVNI ODJEL ZA </w:t>
      </w:r>
      <w:r w:rsidR="00EF2895" w:rsidRPr="00EF2895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FINANCIJE I PRORAČUN</w:t>
      </w:r>
    </w:p>
    <w:p w14:paraId="536BF66C" w14:textId="77777777" w:rsidR="000E78FB" w:rsidRPr="00B06427" w:rsidRDefault="000E78FB" w:rsidP="00B92D0F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</w:p>
    <w:p w14:paraId="67B11731" w14:textId="7214C8BC" w:rsidR="00B92D0F" w:rsidRPr="00EF2895" w:rsidRDefault="00C9578C" w:rsidP="00EF2895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B0642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KLASA: </w:t>
      </w:r>
      <w:r w:rsidR="00B92D0F" w:rsidRPr="00B0642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400-07/24-01/18</w:t>
      </w:r>
      <w:r w:rsidR="008C5FE5" w:rsidRPr="00B0642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0FD39D47" w14:textId="3B225B5A" w:rsidR="00B92D0F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B0642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B0642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2140-07/6-24-11</w:t>
      </w:r>
    </w:p>
    <w:p w14:paraId="39CEA52E" w14:textId="77777777" w:rsidR="00EF2895" w:rsidRPr="00EF2895" w:rsidRDefault="00EF2895" w:rsidP="00EF2895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EF28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OIB 20042466298</w:t>
      </w:r>
    </w:p>
    <w:p w14:paraId="47A39B3F" w14:textId="77777777" w:rsidR="00EF2895" w:rsidRPr="00EF2895" w:rsidRDefault="00EF2895" w:rsidP="00EF2895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EF28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RKP 378220</w:t>
      </w:r>
    </w:p>
    <w:p w14:paraId="0776321E" w14:textId="64745EE3" w:rsidR="00EF2895" w:rsidRPr="00EF2895" w:rsidRDefault="00EF2895" w:rsidP="00B92D0F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EF28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Razina „23“</w:t>
      </w:r>
    </w:p>
    <w:p w14:paraId="4445648A" w14:textId="2AD80D2B" w:rsidR="00B92D0F" w:rsidRPr="00B06427" w:rsidRDefault="00EF2895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EF28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Krapina,</w:t>
      </w:r>
      <w:r w:rsidR="00C9578C" w:rsidRPr="00EF28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</w:t>
      </w:r>
      <w:r w:rsidR="00B92D0F" w:rsidRPr="00B0642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1</w:t>
      </w:r>
      <w:r w:rsidR="003262B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8</w:t>
      </w:r>
      <w:r w:rsidR="00B92D0F" w:rsidRPr="00B0642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srpnja </w:t>
      </w:r>
      <w:r w:rsidR="00B92D0F" w:rsidRPr="00B0642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2024.</w:t>
      </w:r>
    </w:p>
    <w:p w14:paraId="352EE15E" w14:textId="77777777" w:rsidR="00B92D0F" w:rsidRPr="00B06427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44EBC9E6" w14:textId="77777777" w:rsidR="00EF2895" w:rsidRPr="00EF2895" w:rsidRDefault="00EF2895" w:rsidP="00EF2895">
      <w:pPr>
        <w:jc w:val="center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</w:pPr>
      <w:r w:rsidRPr="00EF2895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>BILJEŠKE UZ KONSOLIDIRANO</w:t>
      </w:r>
    </w:p>
    <w:p w14:paraId="24AD4FCD" w14:textId="77777777" w:rsidR="00EF2895" w:rsidRPr="00EF2895" w:rsidRDefault="00EF2895" w:rsidP="00EF2895">
      <w:pPr>
        <w:jc w:val="center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</w:pPr>
      <w:r w:rsidRPr="00EF2895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>FINANCIJSKO IZVJEŠĆE ZA RAZDOBLJE  1.1.-30.06.2024. GODINE</w:t>
      </w:r>
    </w:p>
    <w:p w14:paraId="27DB3DBF" w14:textId="77777777" w:rsidR="00EF2895" w:rsidRPr="00EF2895" w:rsidRDefault="00EF2895" w:rsidP="00EF2895">
      <w:pPr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</w:pPr>
    </w:p>
    <w:p w14:paraId="20DC8CCC" w14:textId="77777777" w:rsidR="00EF2895" w:rsidRPr="00EF2895" w:rsidRDefault="00EF2895" w:rsidP="00EF2895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EF28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Konsolidacijom je obuhvaćen 51 subjekt i to:</w:t>
      </w:r>
    </w:p>
    <w:p w14:paraId="481241BB" w14:textId="77777777" w:rsidR="00EF2895" w:rsidRPr="00EF2895" w:rsidRDefault="00EF2895" w:rsidP="00EF2895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7F7071AE" w14:textId="77777777" w:rsidR="00EF2895" w:rsidRPr="00EF2895" w:rsidRDefault="00EF2895" w:rsidP="00EF2895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EF28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31  Osnovna škola</w:t>
      </w:r>
    </w:p>
    <w:p w14:paraId="17C61CBF" w14:textId="77777777" w:rsidR="00EF2895" w:rsidRPr="00EF2895" w:rsidRDefault="00EF2895" w:rsidP="00EF2895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EF28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 1  Glazbena škola Pregrada</w:t>
      </w:r>
    </w:p>
    <w:p w14:paraId="26497AAB" w14:textId="77777777" w:rsidR="00EF2895" w:rsidRPr="00EF2895" w:rsidRDefault="00EF2895" w:rsidP="00EF2895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EF28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 9  Srednjih škola (uključena i 2 učenička doma-Bedekovčina i Pregrada)</w:t>
      </w:r>
    </w:p>
    <w:p w14:paraId="6BF3BD32" w14:textId="77777777" w:rsidR="00EF2895" w:rsidRPr="00EF2895" w:rsidRDefault="00EF2895" w:rsidP="00EF2895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EF28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 5 Zdravstvenih ustanova</w:t>
      </w:r>
    </w:p>
    <w:p w14:paraId="00AE2785" w14:textId="77777777" w:rsidR="00EF2895" w:rsidRPr="00EF2895" w:rsidRDefault="00EF2895" w:rsidP="00EF2895">
      <w:pPr>
        <w:ind w:left="426" w:hanging="426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EF28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 3  Javne ustanove – „Zavod za prostorno uređenje KZŽ“, „Javna ustanova Zagorje zeleno“ i „Dom za žrtve nasilja u obitelji Novi početak“</w:t>
      </w:r>
    </w:p>
    <w:p w14:paraId="342ED2A3" w14:textId="77777777" w:rsidR="00EF2895" w:rsidRPr="00EF2895" w:rsidRDefault="00EF2895" w:rsidP="00EF2895">
      <w:pPr>
        <w:ind w:left="426" w:hanging="426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EF28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 1  Zagorska razvojna agencija </w:t>
      </w:r>
    </w:p>
    <w:p w14:paraId="03538F56" w14:textId="77777777" w:rsidR="00EF2895" w:rsidRPr="00EF2895" w:rsidRDefault="00EF2895" w:rsidP="00EF2895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EF28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 1  Proračun KZŽ</w:t>
      </w:r>
    </w:p>
    <w:p w14:paraId="37AE863C" w14:textId="77777777" w:rsidR="00EF2895" w:rsidRPr="00EF2895" w:rsidRDefault="00EF2895" w:rsidP="00EF2895">
      <w:pPr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</w:pPr>
    </w:p>
    <w:p w14:paraId="3D607F88" w14:textId="77777777" w:rsidR="00EF2895" w:rsidRPr="00EF2895" w:rsidRDefault="00EF2895" w:rsidP="00EF2895">
      <w:pPr>
        <w:rPr>
          <w:rFonts w:ascii="Times New Roman" w:eastAsia="Times New Roman" w:hAnsi="Times New Roman" w:cs="Times New Roman"/>
          <w:b/>
          <w:noProof w:val="0"/>
          <w:sz w:val="24"/>
          <w:szCs w:val="24"/>
          <w:u w:val="single"/>
          <w:lang w:eastAsia="hr-HR"/>
        </w:rPr>
      </w:pPr>
      <w:r w:rsidRPr="00EF2895">
        <w:rPr>
          <w:rFonts w:ascii="Times New Roman" w:eastAsia="Times New Roman" w:hAnsi="Times New Roman" w:cs="Times New Roman"/>
          <w:b/>
          <w:noProof w:val="0"/>
          <w:sz w:val="24"/>
          <w:szCs w:val="24"/>
          <w:u w:val="single"/>
          <w:lang w:eastAsia="hr-HR"/>
        </w:rPr>
        <w:t>Bilješke uz obrazac PR-RAS</w:t>
      </w:r>
    </w:p>
    <w:p w14:paraId="3A096165" w14:textId="77777777" w:rsidR="00EF2895" w:rsidRPr="00EF2895" w:rsidRDefault="00EF2895" w:rsidP="00EF2895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14EA2321" w14:textId="77777777" w:rsidR="00EF2895" w:rsidRPr="00EF2895" w:rsidRDefault="00EF2895" w:rsidP="00EF2895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EF28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Eliminacija:</w:t>
      </w:r>
    </w:p>
    <w:p w14:paraId="75526EBE" w14:textId="77777777" w:rsidR="00EF2895" w:rsidRPr="00EF2895" w:rsidRDefault="00EF2895" w:rsidP="00EF2895">
      <w:pPr>
        <w:ind w:left="284" w:hanging="284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tbl>
      <w:tblPr>
        <w:tblStyle w:val="Reetkatablice1"/>
        <w:tblW w:w="0" w:type="auto"/>
        <w:jc w:val="center"/>
        <w:tblLook w:val="04A0" w:firstRow="1" w:lastRow="0" w:firstColumn="1" w:lastColumn="0" w:noHBand="0" w:noVBand="1"/>
      </w:tblPr>
      <w:tblGrid>
        <w:gridCol w:w="1852"/>
        <w:gridCol w:w="1276"/>
        <w:gridCol w:w="1985"/>
        <w:gridCol w:w="1984"/>
      </w:tblGrid>
      <w:tr w:rsidR="00EF2895" w:rsidRPr="00EF2895" w14:paraId="4A26E47F" w14:textId="77777777" w:rsidTr="00D845A4">
        <w:trPr>
          <w:jc w:val="center"/>
        </w:trPr>
        <w:tc>
          <w:tcPr>
            <w:tcW w:w="1852" w:type="dxa"/>
            <w:vAlign w:val="center"/>
          </w:tcPr>
          <w:p w14:paraId="766F7358" w14:textId="77777777" w:rsidR="00EF2895" w:rsidRPr="00EF2895" w:rsidRDefault="00EF2895" w:rsidP="00EF2895">
            <w:pPr>
              <w:jc w:val="center"/>
              <w:rPr>
                <w:noProof w:val="0"/>
              </w:rPr>
            </w:pPr>
            <w:r w:rsidRPr="00EF2895">
              <w:rPr>
                <w:noProof w:val="0"/>
              </w:rPr>
              <w:t>RAZINA 22</w:t>
            </w:r>
          </w:p>
        </w:tc>
        <w:tc>
          <w:tcPr>
            <w:tcW w:w="1276" w:type="dxa"/>
            <w:vAlign w:val="center"/>
          </w:tcPr>
          <w:p w14:paraId="2CA8EEC8" w14:textId="77777777" w:rsidR="00EF2895" w:rsidRPr="00EF2895" w:rsidRDefault="00EF2895" w:rsidP="00EF2895">
            <w:pPr>
              <w:jc w:val="center"/>
              <w:rPr>
                <w:noProof w:val="0"/>
              </w:rPr>
            </w:pPr>
            <w:r w:rsidRPr="00EF2895">
              <w:rPr>
                <w:noProof w:val="0"/>
              </w:rPr>
              <w:t>GODINA</w:t>
            </w:r>
          </w:p>
        </w:tc>
        <w:tc>
          <w:tcPr>
            <w:tcW w:w="1985" w:type="dxa"/>
            <w:vAlign w:val="center"/>
          </w:tcPr>
          <w:p w14:paraId="67DD3337" w14:textId="77777777" w:rsidR="00EF2895" w:rsidRPr="00EF2895" w:rsidRDefault="00EF2895" w:rsidP="00EF2895">
            <w:pPr>
              <w:jc w:val="center"/>
              <w:rPr>
                <w:noProof w:val="0"/>
              </w:rPr>
            </w:pPr>
            <w:r w:rsidRPr="00EF2895">
              <w:rPr>
                <w:noProof w:val="0"/>
              </w:rPr>
              <w:t>IZNOS (EUR)</w:t>
            </w:r>
          </w:p>
        </w:tc>
        <w:tc>
          <w:tcPr>
            <w:tcW w:w="1984" w:type="dxa"/>
            <w:vAlign w:val="center"/>
          </w:tcPr>
          <w:p w14:paraId="2C02A68A" w14:textId="77777777" w:rsidR="00EF2895" w:rsidRPr="00EF2895" w:rsidRDefault="00EF2895" w:rsidP="00EF2895">
            <w:pPr>
              <w:jc w:val="center"/>
              <w:rPr>
                <w:noProof w:val="0"/>
              </w:rPr>
            </w:pPr>
            <w:r w:rsidRPr="00EF2895">
              <w:rPr>
                <w:noProof w:val="0"/>
              </w:rPr>
              <w:t>RAZINA 21</w:t>
            </w:r>
          </w:p>
          <w:p w14:paraId="7CBBC2A3" w14:textId="77777777" w:rsidR="00EF2895" w:rsidRPr="00EF2895" w:rsidRDefault="00EF2895" w:rsidP="00EF2895">
            <w:pPr>
              <w:jc w:val="center"/>
              <w:rPr>
                <w:noProof w:val="0"/>
              </w:rPr>
            </w:pPr>
            <w:r w:rsidRPr="00EF2895">
              <w:rPr>
                <w:noProof w:val="0"/>
              </w:rPr>
              <w:t>RAZINA 31</w:t>
            </w:r>
          </w:p>
        </w:tc>
      </w:tr>
      <w:tr w:rsidR="00EF2895" w:rsidRPr="00EF2895" w14:paraId="037895B7" w14:textId="77777777" w:rsidTr="00D845A4">
        <w:trPr>
          <w:trHeight w:val="240"/>
          <w:jc w:val="center"/>
        </w:trPr>
        <w:tc>
          <w:tcPr>
            <w:tcW w:w="1852" w:type="dxa"/>
            <w:vMerge w:val="restart"/>
            <w:vAlign w:val="center"/>
          </w:tcPr>
          <w:p w14:paraId="5118AA96" w14:textId="77777777" w:rsidR="00EF2895" w:rsidRPr="00EF2895" w:rsidRDefault="00EF2895" w:rsidP="00EF2895">
            <w:pPr>
              <w:jc w:val="center"/>
              <w:rPr>
                <w:noProof w:val="0"/>
                <w:sz w:val="24"/>
                <w:szCs w:val="24"/>
              </w:rPr>
            </w:pPr>
            <w:r w:rsidRPr="00EF2895">
              <w:rPr>
                <w:noProof w:val="0"/>
                <w:sz w:val="24"/>
                <w:szCs w:val="24"/>
              </w:rPr>
              <w:t>šifra 367</w:t>
            </w:r>
          </w:p>
        </w:tc>
        <w:tc>
          <w:tcPr>
            <w:tcW w:w="1276" w:type="dxa"/>
            <w:vAlign w:val="center"/>
          </w:tcPr>
          <w:p w14:paraId="3A551D26" w14:textId="77777777" w:rsidR="00EF2895" w:rsidRPr="00EF2895" w:rsidRDefault="00EF2895" w:rsidP="00EF2895">
            <w:pPr>
              <w:jc w:val="center"/>
              <w:rPr>
                <w:noProof w:val="0"/>
                <w:sz w:val="24"/>
                <w:szCs w:val="24"/>
              </w:rPr>
            </w:pPr>
            <w:r w:rsidRPr="00EF2895">
              <w:rPr>
                <w:noProof w:val="0"/>
                <w:sz w:val="24"/>
                <w:szCs w:val="24"/>
              </w:rPr>
              <w:t>2023.</w:t>
            </w:r>
          </w:p>
        </w:tc>
        <w:tc>
          <w:tcPr>
            <w:tcW w:w="1985" w:type="dxa"/>
            <w:vAlign w:val="center"/>
          </w:tcPr>
          <w:p w14:paraId="6E4C20C8" w14:textId="77777777" w:rsidR="00EF2895" w:rsidRPr="00EF2895" w:rsidRDefault="00EF2895" w:rsidP="00EF2895">
            <w:pPr>
              <w:jc w:val="center"/>
              <w:rPr>
                <w:noProof w:val="0"/>
                <w:sz w:val="24"/>
                <w:szCs w:val="24"/>
              </w:rPr>
            </w:pPr>
            <w:r w:rsidRPr="00EF2895">
              <w:rPr>
                <w:noProof w:val="0"/>
                <w:sz w:val="24"/>
                <w:szCs w:val="24"/>
              </w:rPr>
              <w:t>8.145.770,84</w:t>
            </w:r>
          </w:p>
        </w:tc>
        <w:tc>
          <w:tcPr>
            <w:tcW w:w="1984" w:type="dxa"/>
            <w:vMerge w:val="restart"/>
            <w:vAlign w:val="center"/>
          </w:tcPr>
          <w:p w14:paraId="79927AA9" w14:textId="77777777" w:rsidR="00EF2895" w:rsidRPr="00EF2895" w:rsidRDefault="00EF2895" w:rsidP="00EF2895">
            <w:pPr>
              <w:jc w:val="center"/>
              <w:rPr>
                <w:noProof w:val="0"/>
                <w:sz w:val="24"/>
                <w:szCs w:val="24"/>
              </w:rPr>
            </w:pPr>
            <w:r w:rsidRPr="00EF2895">
              <w:rPr>
                <w:noProof w:val="0"/>
                <w:sz w:val="24"/>
                <w:szCs w:val="24"/>
              </w:rPr>
              <w:t>šifra 671</w:t>
            </w:r>
          </w:p>
        </w:tc>
      </w:tr>
      <w:tr w:rsidR="00EF2895" w:rsidRPr="00EF2895" w14:paraId="26990EDB" w14:textId="77777777" w:rsidTr="00D845A4">
        <w:trPr>
          <w:trHeight w:val="315"/>
          <w:jc w:val="center"/>
        </w:trPr>
        <w:tc>
          <w:tcPr>
            <w:tcW w:w="1852" w:type="dxa"/>
            <w:vMerge/>
            <w:vAlign w:val="center"/>
          </w:tcPr>
          <w:p w14:paraId="44144BBF" w14:textId="77777777" w:rsidR="00EF2895" w:rsidRPr="00EF2895" w:rsidRDefault="00EF2895" w:rsidP="00EF2895">
            <w:pPr>
              <w:jc w:val="both"/>
              <w:rPr>
                <w:noProof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9AAB60D" w14:textId="77777777" w:rsidR="00EF2895" w:rsidRPr="00EF2895" w:rsidRDefault="00EF2895" w:rsidP="00EF2895">
            <w:pPr>
              <w:jc w:val="center"/>
              <w:rPr>
                <w:noProof w:val="0"/>
                <w:sz w:val="24"/>
                <w:szCs w:val="24"/>
              </w:rPr>
            </w:pPr>
            <w:r w:rsidRPr="00EF2895">
              <w:rPr>
                <w:noProof w:val="0"/>
                <w:sz w:val="24"/>
                <w:szCs w:val="24"/>
              </w:rPr>
              <w:t>2024.</w:t>
            </w:r>
          </w:p>
        </w:tc>
        <w:tc>
          <w:tcPr>
            <w:tcW w:w="1985" w:type="dxa"/>
            <w:vAlign w:val="center"/>
          </w:tcPr>
          <w:p w14:paraId="0516FE7F" w14:textId="77777777" w:rsidR="00EF2895" w:rsidRPr="00EF2895" w:rsidRDefault="00EF2895" w:rsidP="00EF2895">
            <w:pPr>
              <w:jc w:val="center"/>
              <w:rPr>
                <w:noProof w:val="0"/>
                <w:sz w:val="24"/>
                <w:szCs w:val="24"/>
              </w:rPr>
            </w:pPr>
            <w:r w:rsidRPr="00EF2895">
              <w:rPr>
                <w:noProof w:val="0"/>
                <w:sz w:val="24"/>
                <w:szCs w:val="24"/>
              </w:rPr>
              <w:t>6.568.128,68</w:t>
            </w:r>
          </w:p>
        </w:tc>
        <w:tc>
          <w:tcPr>
            <w:tcW w:w="1984" w:type="dxa"/>
            <w:vMerge/>
          </w:tcPr>
          <w:p w14:paraId="5E2E0595" w14:textId="77777777" w:rsidR="00EF2895" w:rsidRPr="00EF2895" w:rsidRDefault="00EF2895" w:rsidP="00EF2895">
            <w:pPr>
              <w:jc w:val="both"/>
              <w:rPr>
                <w:noProof w:val="0"/>
                <w:sz w:val="24"/>
                <w:szCs w:val="24"/>
              </w:rPr>
            </w:pPr>
          </w:p>
        </w:tc>
      </w:tr>
      <w:tr w:rsidR="00EF2895" w:rsidRPr="00EF2895" w14:paraId="2D7D88C4" w14:textId="77777777" w:rsidTr="00D845A4">
        <w:trPr>
          <w:trHeight w:val="315"/>
          <w:jc w:val="center"/>
        </w:trPr>
        <w:tc>
          <w:tcPr>
            <w:tcW w:w="1852" w:type="dxa"/>
            <w:vMerge w:val="restart"/>
            <w:vAlign w:val="center"/>
          </w:tcPr>
          <w:p w14:paraId="58DBA659" w14:textId="77777777" w:rsidR="00EF2895" w:rsidRPr="00EF2895" w:rsidRDefault="00EF2895" w:rsidP="00EF2895">
            <w:pPr>
              <w:jc w:val="center"/>
              <w:rPr>
                <w:noProof w:val="0"/>
                <w:sz w:val="24"/>
                <w:szCs w:val="24"/>
              </w:rPr>
            </w:pPr>
            <w:r w:rsidRPr="00EF2895">
              <w:rPr>
                <w:noProof w:val="0"/>
                <w:sz w:val="24"/>
                <w:szCs w:val="24"/>
              </w:rPr>
              <w:t>šifra 369,639</w:t>
            </w:r>
          </w:p>
        </w:tc>
        <w:tc>
          <w:tcPr>
            <w:tcW w:w="1276" w:type="dxa"/>
            <w:vAlign w:val="center"/>
          </w:tcPr>
          <w:p w14:paraId="7D898669" w14:textId="77777777" w:rsidR="00EF2895" w:rsidRPr="00EF2895" w:rsidRDefault="00EF2895" w:rsidP="00EF2895">
            <w:pPr>
              <w:jc w:val="center"/>
              <w:rPr>
                <w:noProof w:val="0"/>
                <w:sz w:val="24"/>
                <w:szCs w:val="24"/>
              </w:rPr>
            </w:pPr>
            <w:r w:rsidRPr="00EF2895">
              <w:rPr>
                <w:noProof w:val="0"/>
                <w:sz w:val="24"/>
                <w:szCs w:val="24"/>
              </w:rPr>
              <w:t>2023.</w:t>
            </w:r>
          </w:p>
        </w:tc>
        <w:tc>
          <w:tcPr>
            <w:tcW w:w="1985" w:type="dxa"/>
            <w:vAlign w:val="center"/>
          </w:tcPr>
          <w:p w14:paraId="1FF6616F" w14:textId="77777777" w:rsidR="00EF2895" w:rsidRPr="00EF2895" w:rsidRDefault="00EF2895" w:rsidP="00EF2895">
            <w:pPr>
              <w:jc w:val="center"/>
              <w:rPr>
                <w:noProof w:val="0"/>
                <w:sz w:val="24"/>
                <w:szCs w:val="24"/>
              </w:rPr>
            </w:pPr>
            <w:r w:rsidRPr="00EF2895">
              <w:rPr>
                <w:noProof w:val="0"/>
                <w:sz w:val="24"/>
                <w:szCs w:val="24"/>
              </w:rPr>
              <w:t>377.087,11</w:t>
            </w:r>
          </w:p>
        </w:tc>
        <w:tc>
          <w:tcPr>
            <w:tcW w:w="1984" w:type="dxa"/>
            <w:vMerge w:val="restart"/>
            <w:vAlign w:val="center"/>
          </w:tcPr>
          <w:p w14:paraId="4A049965" w14:textId="77777777" w:rsidR="00EF2895" w:rsidRPr="00EF2895" w:rsidRDefault="00EF2895" w:rsidP="00EF2895">
            <w:pPr>
              <w:jc w:val="center"/>
              <w:rPr>
                <w:noProof w:val="0"/>
                <w:sz w:val="24"/>
                <w:szCs w:val="24"/>
              </w:rPr>
            </w:pPr>
            <w:r w:rsidRPr="00EF2895">
              <w:rPr>
                <w:noProof w:val="0"/>
                <w:sz w:val="24"/>
                <w:szCs w:val="24"/>
              </w:rPr>
              <w:t>šifra 639,369</w:t>
            </w:r>
          </w:p>
        </w:tc>
      </w:tr>
      <w:tr w:rsidR="00EF2895" w:rsidRPr="00EF2895" w14:paraId="0D2EFBDC" w14:textId="77777777" w:rsidTr="00D845A4">
        <w:trPr>
          <w:trHeight w:val="240"/>
          <w:jc w:val="center"/>
        </w:trPr>
        <w:tc>
          <w:tcPr>
            <w:tcW w:w="1852" w:type="dxa"/>
            <w:vMerge/>
          </w:tcPr>
          <w:p w14:paraId="43F48F36" w14:textId="77777777" w:rsidR="00EF2895" w:rsidRPr="00EF2895" w:rsidRDefault="00EF2895" w:rsidP="00EF2895">
            <w:pPr>
              <w:jc w:val="both"/>
              <w:rPr>
                <w:noProof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826D373" w14:textId="77777777" w:rsidR="00EF2895" w:rsidRPr="00EF2895" w:rsidRDefault="00EF2895" w:rsidP="00EF2895">
            <w:pPr>
              <w:jc w:val="center"/>
              <w:rPr>
                <w:noProof w:val="0"/>
                <w:sz w:val="24"/>
                <w:szCs w:val="24"/>
              </w:rPr>
            </w:pPr>
            <w:r w:rsidRPr="00EF2895">
              <w:rPr>
                <w:noProof w:val="0"/>
                <w:sz w:val="24"/>
                <w:szCs w:val="24"/>
              </w:rPr>
              <w:t>2024.</w:t>
            </w:r>
          </w:p>
        </w:tc>
        <w:tc>
          <w:tcPr>
            <w:tcW w:w="1985" w:type="dxa"/>
            <w:vAlign w:val="center"/>
          </w:tcPr>
          <w:p w14:paraId="248AAB89" w14:textId="77777777" w:rsidR="00EF2895" w:rsidRPr="00EF2895" w:rsidRDefault="00EF2895" w:rsidP="00EF2895">
            <w:pPr>
              <w:jc w:val="center"/>
              <w:rPr>
                <w:noProof w:val="0"/>
                <w:sz w:val="24"/>
                <w:szCs w:val="24"/>
              </w:rPr>
            </w:pPr>
            <w:r w:rsidRPr="00EF2895">
              <w:rPr>
                <w:noProof w:val="0"/>
                <w:sz w:val="24"/>
                <w:szCs w:val="24"/>
              </w:rPr>
              <w:t>6.782.253,35</w:t>
            </w:r>
          </w:p>
        </w:tc>
        <w:tc>
          <w:tcPr>
            <w:tcW w:w="1984" w:type="dxa"/>
            <w:vMerge/>
          </w:tcPr>
          <w:p w14:paraId="76E3688E" w14:textId="77777777" w:rsidR="00EF2895" w:rsidRPr="00EF2895" w:rsidRDefault="00EF2895" w:rsidP="00EF2895">
            <w:pPr>
              <w:jc w:val="both"/>
              <w:rPr>
                <w:noProof w:val="0"/>
                <w:sz w:val="24"/>
                <w:szCs w:val="24"/>
              </w:rPr>
            </w:pPr>
          </w:p>
        </w:tc>
      </w:tr>
    </w:tbl>
    <w:tbl>
      <w:tblPr>
        <w:tblStyle w:val="Reetkatablice1"/>
        <w:tblpPr w:leftFromText="180" w:rightFromText="180" w:vertAnchor="text" w:horzAnchor="margin" w:tblpY="155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8080"/>
      </w:tblGrid>
      <w:tr w:rsidR="00EF2895" w:rsidRPr="00EF2895" w14:paraId="58E76E80" w14:textId="77777777" w:rsidTr="00D845A4">
        <w:tc>
          <w:tcPr>
            <w:tcW w:w="1271" w:type="dxa"/>
          </w:tcPr>
          <w:p w14:paraId="5E80EC87" w14:textId="77777777" w:rsidR="00EF2895" w:rsidRPr="00EF2895" w:rsidRDefault="00EF2895" w:rsidP="00EF2895">
            <w:pPr>
              <w:jc w:val="both"/>
              <w:rPr>
                <w:noProof w:val="0"/>
                <w:sz w:val="24"/>
                <w:szCs w:val="24"/>
              </w:rPr>
            </w:pPr>
          </w:p>
        </w:tc>
        <w:tc>
          <w:tcPr>
            <w:tcW w:w="8080" w:type="dxa"/>
          </w:tcPr>
          <w:p w14:paraId="12FEED6F" w14:textId="77777777" w:rsidR="00EF2895" w:rsidRPr="00EF2895" w:rsidRDefault="00EF2895" w:rsidP="00EF2895">
            <w:pPr>
              <w:jc w:val="both"/>
              <w:rPr>
                <w:noProof w:val="0"/>
                <w:sz w:val="24"/>
                <w:szCs w:val="24"/>
              </w:rPr>
            </w:pPr>
          </w:p>
        </w:tc>
      </w:tr>
      <w:tr w:rsidR="00EF2895" w:rsidRPr="00EF2895" w14:paraId="43084CCB" w14:textId="77777777" w:rsidTr="00D845A4">
        <w:tc>
          <w:tcPr>
            <w:tcW w:w="1271" w:type="dxa"/>
          </w:tcPr>
          <w:p w14:paraId="418700A9" w14:textId="77777777" w:rsidR="00EF2895" w:rsidRPr="00EF2895" w:rsidRDefault="00EF2895" w:rsidP="00EF2895">
            <w:pPr>
              <w:jc w:val="both"/>
              <w:rPr>
                <w:noProof w:val="0"/>
                <w:sz w:val="24"/>
                <w:szCs w:val="24"/>
              </w:rPr>
            </w:pPr>
          </w:p>
        </w:tc>
        <w:tc>
          <w:tcPr>
            <w:tcW w:w="8080" w:type="dxa"/>
          </w:tcPr>
          <w:p w14:paraId="73313D44" w14:textId="77777777" w:rsidR="00EF2895" w:rsidRPr="00EF2895" w:rsidRDefault="00EF2895" w:rsidP="00EF2895">
            <w:pPr>
              <w:jc w:val="both"/>
              <w:rPr>
                <w:noProof w:val="0"/>
                <w:sz w:val="24"/>
                <w:szCs w:val="24"/>
              </w:rPr>
            </w:pPr>
          </w:p>
        </w:tc>
      </w:tr>
      <w:tr w:rsidR="00EF2895" w:rsidRPr="00EF2895" w14:paraId="64A169A5" w14:textId="77777777" w:rsidTr="00D845A4">
        <w:tc>
          <w:tcPr>
            <w:tcW w:w="1271" w:type="dxa"/>
          </w:tcPr>
          <w:p w14:paraId="3076E196" w14:textId="77777777" w:rsidR="00EF2895" w:rsidRPr="00EF2895" w:rsidRDefault="00EF2895" w:rsidP="00EF2895">
            <w:pPr>
              <w:jc w:val="both"/>
              <w:rPr>
                <w:noProof w:val="0"/>
                <w:sz w:val="24"/>
                <w:szCs w:val="24"/>
              </w:rPr>
            </w:pPr>
          </w:p>
        </w:tc>
        <w:tc>
          <w:tcPr>
            <w:tcW w:w="8080" w:type="dxa"/>
          </w:tcPr>
          <w:p w14:paraId="5BB9092A" w14:textId="77777777" w:rsidR="00EF2895" w:rsidRPr="00EF2895" w:rsidRDefault="00EF2895" w:rsidP="00EF2895">
            <w:pPr>
              <w:jc w:val="both"/>
              <w:rPr>
                <w:noProof w:val="0"/>
                <w:sz w:val="24"/>
                <w:szCs w:val="24"/>
              </w:rPr>
            </w:pPr>
          </w:p>
        </w:tc>
      </w:tr>
      <w:tr w:rsidR="00EF2895" w:rsidRPr="00EF2895" w14:paraId="7308F4DE" w14:textId="77777777" w:rsidTr="00D845A4">
        <w:tc>
          <w:tcPr>
            <w:tcW w:w="1271" w:type="dxa"/>
          </w:tcPr>
          <w:p w14:paraId="1F5ED388" w14:textId="77777777" w:rsidR="00EF2895" w:rsidRPr="00EF2895" w:rsidRDefault="00EF2895" w:rsidP="00EF2895">
            <w:pPr>
              <w:jc w:val="both"/>
              <w:rPr>
                <w:noProof w:val="0"/>
                <w:sz w:val="24"/>
                <w:szCs w:val="24"/>
              </w:rPr>
            </w:pPr>
            <w:r w:rsidRPr="00EF2895">
              <w:rPr>
                <w:noProof w:val="0"/>
                <w:sz w:val="24"/>
                <w:szCs w:val="24"/>
              </w:rPr>
              <w:t xml:space="preserve">šifra 632 </w:t>
            </w:r>
          </w:p>
        </w:tc>
        <w:tc>
          <w:tcPr>
            <w:tcW w:w="8080" w:type="dxa"/>
          </w:tcPr>
          <w:p w14:paraId="13E5D429" w14:textId="77777777" w:rsidR="00EF2895" w:rsidRPr="00EF2895" w:rsidRDefault="00EF2895" w:rsidP="00EF2895">
            <w:pPr>
              <w:jc w:val="both"/>
              <w:rPr>
                <w:noProof w:val="0"/>
                <w:sz w:val="24"/>
                <w:szCs w:val="24"/>
              </w:rPr>
            </w:pPr>
            <w:r w:rsidRPr="00EF2895">
              <w:rPr>
                <w:noProof w:val="0"/>
                <w:sz w:val="24"/>
                <w:szCs w:val="24"/>
              </w:rPr>
              <w:t xml:space="preserve">36.270,41 EUR odnosi se na KZŽ  i uplate za projekte </w:t>
            </w:r>
            <w:r w:rsidRPr="00EF2895">
              <w:rPr>
                <w:rFonts w:eastAsia="Calibri"/>
                <w:sz w:val="24"/>
                <w:szCs w:val="24"/>
              </w:rPr>
              <w:t>Poticanje kulture lokalnih savjeta mladih i Arcadia, 494.213,09 EUR odnosi se na Zagorsku razvojnu agenciju i uplate za projekte CRO-SI-SAFE i Arcadia</w:t>
            </w:r>
          </w:p>
        </w:tc>
      </w:tr>
    </w:tbl>
    <w:p w14:paraId="39A6EFE5" w14:textId="77777777" w:rsidR="00EF2895" w:rsidRPr="00EF2895" w:rsidRDefault="00EF2895" w:rsidP="00EF2895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tbl>
      <w:tblPr>
        <w:tblStyle w:val="Reetkatablice1"/>
        <w:tblW w:w="935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8080"/>
      </w:tblGrid>
      <w:tr w:rsidR="00EF2895" w:rsidRPr="00EF2895" w14:paraId="2453F4D0" w14:textId="77777777" w:rsidTr="00D845A4">
        <w:tc>
          <w:tcPr>
            <w:tcW w:w="1276" w:type="dxa"/>
          </w:tcPr>
          <w:p w14:paraId="544DF8C9" w14:textId="77777777" w:rsidR="00EF2895" w:rsidRPr="00EF2895" w:rsidRDefault="00EF2895" w:rsidP="00EF2895">
            <w:pPr>
              <w:jc w:val="both"/>
              <w:rPr>
                <w:noProof w:val="0"/>
                <w:sz w:val="24"/>
                <w:szCs w:val="24"/>
              </w:rPr>
            </w:pPr>
            <w:r w:rsidRPr="00EF2895">
              <w:rPr>
                <w:noProof w:val="0"/>
                <w:sz w:val="24"/>
                <w:szCs w:val="24"/>
              </w:rPr>
              <w:t>šifra 633</w:t>
            </w:r>
          </w:p>
        </w:tc>
        <w:tc>
          <w:tcPr>
            <w:tcW w:w="8080" w:type="dxa"/>
          </w:tcPr>
          <w:p w14:paraId="4E4E13A1" w14:textId="77777777" w:rsidR="00EF2895" w:rsidRPr="00EF2895" w:rsidRDefault="00EF2895" w:rsidP="00EF2895">
            <w:pPr>
              <w:jc w:val="both"/>
              <w:rPr>
                <w:noProof w:val="0"/>
                <w:sz w:val="24"/>
                <w:szCs w:val="24"/>
              </w:rPr>
            </w:pPr>
            <w:r w:rsidRPr="00EF2895">
              <w:rPr>
                <w:noProof w:val="0"/>
                <w:sz w:val="24"/>
                <w:szCs w:val="24"/>
              </w:rPr>
              <w:t xml:space="preserve">najveći dio odnosi se na Krapinsko-zagorsku županiju u iznosu od 3.965.989,75 EUR zbog evidentiranih uplata za </w:t>
            </w:r>
            <w:r w:rsidRPr="00EF2895">
              <w:rPr>
                <w:rFonts w:eastAsia="Calibri"/>
                <w:sz w:val="24"/>
                <w:szCs w:val="24"/>
              </w:rPr>
              <w:t>provođenje nacionalnih i EU parlamentarnih izbora te završetka projekta izgradnje sportske dvorane SŠ Zabok</w:t>
            </w:r>
          </w:p>
        </w:tc>
      </w:tr>
    </w:tbl>
    <w:p w14:paraId="43E38390" w14:textId="77777777" w:rsidR="00EF2895" w:rsidRPr="00EF2895" w:rsidRDefault="00EF2895" w:rsidP="00EF2895">
      <w:pPr>
        <w:ind w:left="284" w:hanging="284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1271"/>
        <w:gridCol w:w="8017"/>
      </w:tblGrid>
      <w:tr w:rsidR="00EF2895" w:rsidRPr="00EF2895" w14:paraId="1B713373" w14:textId="77777777" w:rsidTr="00D845A4">
        <w:trPr>
          <w:trHeight w:val="285"/>
        </w:trPr>
        <w:tc>
          <w:tcPr>
            <w:tcW w:w="1271" w:type="dxa"/>
          </w:tcPr>
          <w:p w14:paraId="0A3B0767" w14:textId="77777777" w:rsidR="00EF2895" w:rsidRPr="00EF2895" w:rsidRDefault="00EF2895" w:rsidP="00EF2895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EF289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lastRenderedPageBreak/>
              <w:t>šifra 634</w:t>
            </w:r>
          </w:p>
        </w:tc>
        <w:tc>
          <w:tcPr>
            <w:tcW w:w="8017" w:type="dxa"/>
          </w:tcPr>
          <w:p w14:paraId="7852CC36" w14:textId="17702F78" w:rsidR="00EF2895" w:rsidRPr="00EF2895" w:rsidRDefault="00EF2895" w:rsidP="00EF2895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EF289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 xml:space="preserve">značajno smanjenje jer su u prethodnom razdoblju kod zdravstvenih ustanova evidentirana primljena sredstava od HZZO za podmirenje dijela dospjelih obveza prema dobavljačima lijekova i medicinskog potrošnog materijala te COVID dodatka koji se isplaćuje zaposlenicima mjesečno </w:t>
            </w:r>
          </w:p>
        </w:tc>
      </w:tr>
      <w:tr w:rsidR="00EF2895" w:rsidRPr="00EF2895" w14:paraId="2A049179" w14:textId="77777777" w:rsidTr="00D845A4">
        <w:trPr>
          <w:trHeight w:val="285"/>
        </w:trPr>
        <w:tc>
          <w:tcPr>
            <w:tcW w:w="1271" w:type="dxa"/>
          </w:tcPr>
          <w:p w14:paraId="60CF71C1" w14:textId="77777777" w:rsidR="00EF2895" w:rsidRPr="00EF2895" w:rsidRDefault="00EF2895" w:rsidP="00EF2895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</w:p>
        </w:tc>
        <w:tc>
          <w:tcPr>
            <w:tcW w:w="8017" w:type="dxa"/>
          </w:tcPr>
          <w:p w14:paraId="114BF50C" w14:textId="77777777" w:rsidR="00EF2895" w:rsidRPr="00EF2895" w:rsidRDefault="00EF2895" w:rsidP="00EF2895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</w:p>
        </w:tc>
      </w:tr>
      <w:tr w:rsidR="00EF2895" w:rsidRPr="00EF2895" w14:paraId="417A7CCB" w14:textId="77777777" w:rsidTr="00D845A4">
        <w:trPr>
          <w:trHeight w:val="285"/>
        </w:trPr>
        <w:tc>
          <w:tcPr>
            <w:tcW w:w="1271" w:type="dxa"/>
          </w:tcPr>
          <w:p w14:paraId="0C4D86B5" w14:textId="77777777" w:rsidR="00EF2895" w:rsidRPr="00EF2895" w:rsidRDefault="00EF2895" w:rsidP="00EF2895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EF289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šifra 638</w:t>
            </w:r>
          </w:p>
        </w:tc>
        <w:tc>
          <w:tcPr>
            <w:tcW w:w="8017" w:type="dxa"/>
          </w:tcPr>
          <w:p w14:paraId="153586A1" w14:textId="77777777" w:rsidR="00EF2895" w:rsidRPr="00EF2895" w:rsidRDefault="00EF2895" w:rsidP="00EF2895">
            <w:pPr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F2895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značajno smanjenje kod KZŽ zbog završetka projekta Zalogajček 6 te promjene u rokovima izvještavanja za projekt Baltazar (u tekućem razdoblju nije bilo zahtjeva za nadoknadom sredstava) te projekta Fonda solidarnosti za sanaciju klizišta i cesta uslijed posljedica potresa</w:t>
            </w:r>
          </w:p>
        </w:tc>
      </w:tr>
      <w:tr w:rsidR="00EF2895" w:rsidRPr="00EF2895" w14:paraId="221E1F70" w14:textId="77777777" w:rsidTr="00D845A4">
        <w:trPr>
          <w:trHeight w:val="285"/>
        </w:trPr>
        <w:tc>
          <w:tcPr>
            <w:tcW w:w="1271" w:type="dxa"/>
          </w:tcPr>
          <w:p w14:paraId="13125B54" w14:textId="77777777" w:rsidR="00EF2895" w:rsidRPr="00EF2895" w:rsidRDefault="00EF2895" w:rsidP="00EF2895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</w:p>
        </w:tc>
        <w:tc>
          <w:tcPr>
            <w:tcW w:w="8017" w:type="dxa"/>
          </w:tcPr>
          <w:p w14:paraId="4246685A" w14:textId="77777777" w:rsidR="00EF2895" w:rsidRPr="00EF2895" w:rsidRDefault="00EF2895" w:rsidP="00EF2895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</w:p>
        </w:tc>
      </w:tr>
      <w:tr w:rsidR="00EF2895" w:rsidRPr="00EF2895" w14:paraId="566153EB" w14:textId="77777777" w:rsidTr="00D845A4">
        <w:trPr>
          <w:trHeight w:val="285"/>
        </w:trPr>
        <w:tc>
          <w:tcPr>
            <w:tcW w:w="1271" w:type="dxa"/>
          </w:tcPr>
          <w:p w14:paraId="78A8BDE3" w14:textId="77777777" w:rsidR="00EF2895" w:rsidRPr="00EF2895" w:rsidRDefault="00EF2895" w:rsidP="00EF2895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EF289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šifra 663</w:t>
            </w:r>
          </w:p>
        </w:tc>
        <w:tc>
          <w:tcPr>
            <w:tcW w:w="8017" w:type="dxa"/>
          </w:tcPr>
          <w:p w14:paraId="7C89A220" w14:textId="77777777" w:rsidR="00EF2895" w:rsidRPr="00EF2895" w:rsidRDefault="00EF2895" w:rsidP="00EF2895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EF289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u prethodnom razdoblju kod Opće bolnice Zabok evidentirana primljena uplata partnerske tvrtke CS radi zajedničkog EU projekta Mediiochain</w:t>
            </w:r>
          </w:p>
          <w:p w14:paraId="471D9EC9" w14:textId="77777777" w:rsidR="00EF2895" w:rsidRPr="00EF2895" w:rsidRDefault="00EF2895" w:rsidP="00EF2895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</w:p>
        </w:tc>
      </w:tr>
      <w:tr w:rsidR="00EF2895" w:rsidRPr="00EF2895" w14:paraId="74C5504D" w14:textId="77777777" w:rsidTr="00D845A4">
        <w:trPr>
          <w:trHeight w:val="285"/>
        </w:trPr>
        <w:tc>
          <w:tcPr>
            <w:tcW w:w="1271" w:type="dxa"/>
          </w:tcPr>
          <w:p w14:paraId="6EDD4279" w14:textId="77777777" w:rsidR="00EF2895" w:rsidRPr="00EF2895" w:rsidRDefault="00EF2895" w:rsidP="00EF2895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EF289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šifra 673</w:t>
            </w:r>
          </w:p>
        </w:tc>
        <w:tc>
          <w:tcPr>
            <w:tcW w:w="8017" w:type="dxa"/>
          </w:tcPr>
          <w:p w14:paraId="394C0F92" w14:textId="77777777" w:rsidR="00EF2895" w:rsidRPr="00EF2895" w:rsidRDefault="00EF2895" w:rsidP="00EF2895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EF289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značajno smanjenje prihoda u tekućem razdoblju jer Opća bolnica Zabok od 01.01.2024. nije proračunski korisnik KZŽ, nego državnog proračuna</w:t>
            </w:r>
          </w:p>
          <w:p w14:paraId="35FE385E" w14:textId="77777777" w:rsidR="00EF2895" w:rsidRPr="00EF2895" w:rsidRDefault="00EF2895" w:rsidP="00EF2895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</w:p>
        </w:tc>
      </w:tr>
      <w:tr w:rsidR="00EF2895" w:rsidRPr="00EF2895" w14:paraId="6B76B90B" w14:textId="77777777" w:rsidTr="00D845A4">
        <w:trPr>
          <w:trHeight w:val="291"/>
        </w:trPr>
        <w:tc>
          <w:tcPr>
            <w:tcW w:w="1271" w:type="dxa"/>
          </w:tcPr>
          <w:p w14:paraId="50A6983A" w14:textId="77777777" w:rsidR="00EF2895" w:rsidRPr="00EF2895" w:rsidRDefault="00EF2895" w:rsidP="00EF2895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EF289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šifra 312</w:t>
            </w:r>
          </w:p>
          <w:p w14:paraId="222AC576" w14:textId="77777777" w:rsidR="00EF2895" w:rsidRPr="00EF2895" w:rsidRDefault="00EF2895" w:rsidP="00EF2895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</w:p>
        </w:tc>
        <w:tc>
          <w:tcPr>
            <w:tcW w:w="8017" w:type="dxa"/>
          </w:tcPr>
          <w:p w14:paraId="5DE5F1EB" w14:textId="77777777" w:rsidR="00EF2895" w:rsidRPr="00EF2895" w:rsidRDefault="00EF2895" w:rsidP="00EF2895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EF289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bilježi se povećanje rashoda za zaposlene kod svih subjekata unutar konsolidacije zbog povećanja koeficijenata i osnovice za plaće</w:t>
            </w:r>
          </w:p>
          <w:p w14:paraId="597EAB19" w14:textId="77777777" w:rsidR="00EF2895" w:rsidRPr="00EF2895" w:rsidRDefault="00EF2895" w:rsidP="00EF2895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</w:p>
        </w:tc>
      </w:tr>
      <w:tr w:rsidR="00EF2895" w:rsidRPr="00EF2895" w14:paraId="057372CD" w14:textId="77777777" w:rsidTr="00D845A4">
        <w:trPr>
          <w:trHeight w:val="291"/>
        </w:trPr>
        <w:tc>
          <w:tcPr>
            <w:tcW w:w="1271" w:type="dxa"/>
          </w:tcPr>
          <w:p w14:paraId="44A5C877" w14:textId="77777777" w:rsidR="00EF2895" w:rsidRPr="00EF2895" w:rsidRDefault="00EF2895" w:rsidP="00EF2895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EF289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šifra 3131</w:t>
            </w:r>
          </w:p>
        </w:tc>
        <w:tc>
          <w:tcPr>
            <w:tcW w:w="8017" w:type="dxa"/>
          </w:tcPr>
          <w:p w14:paraId="2708659C" w14:textId="77777777" w:rsidR="00EF2895" w:rsidRPr="00EF2895" w:rsidRDefault="00EF2895" w:rsidP="00EF2895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EF289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 xml:space="preserve">u prethodnom razdoblju prilikom konsolidacije kod korisnika nije uočena pogreška u knjiženju navedenog konta, a ista je u tekućem razdoblju ispravljena </w:t>
            </w:r>
          </w:p>
          <w:p w14:paraId="082EC620" w14:textId="77777777" w:rsidR="00EF2895" w:rsidRPr="00EF2895" w:rsidRDefault="00EF2895" w:rsidP="00EF2895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EF289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 xml:space="preserve"> </w:t>
            </w:r>
          </w:p>
        </w:tc>
      </w:tr>
      <w:tr w:rsidR="00EF2895" w:rsidRPr="00EF2895" w14:paraId="1C75C6F8" w14:textId="77777777" w:rsidTr="00D845A4">
        <w:trPr>
          <w:trHeight w:val="291"/>
        </w:trPr>
        <w:tc>
          <w:tcPr>
            <w:tcW w:w="1271" w:type="dxa"/>
          </w:tcPr>
          <w:p w14:paraId="3907C64A" w14:textId="77777777" w:rsidR="00EF2895" w:rsidRPr="00EF2895" w:rsidRDefault="00EF2895" w:rsidP="00EF2895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EF289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šifra 32</w:t>
            </w:r>
          </w:p>
        </w:tc>
        <w:tc>
          <w:tcPr>
            <w:tcW w:w="8017" w:type="dxa"/>
          </w:tcPr>
          <w:p w14:paraId="7A4ED7FA" w14:textId="77777777" w:rsidR="00EF2895" w:rsidRPr="00EF2895" w:rsidRDefault="00EF2895" w:rsidP="00EF2895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EF289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značajno smanjenje materijalnih rashoda je u tekućem razdoblju nije uključena Opća bolnica Zabok, koja je od 01.01.2024. proračunski korisnik državnog proračuna</w:t>
            </w:r>
          </w:p>
          <w:p w14:paraId="3DC07C85" w14:textId="77777777" w:rsidR="00EF2895" w:rsidRPr="00EF2895" w:rsidRDefault="00EF2895" w:rsidP="00EF2895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EF289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 xml:space="preserve"> </w:t>
            </w:r>
          </w:p>
        </w:tc>
      </w:tr>
      <w:tr w:rsidR="00EF2895" w:rsidRPr="00EF2895" w14:paraId="416A0844" w14:textId="77777777" w:rsidTr="00D845A4">
        <w:trPr>
          <w:trHeight w:val="291"/>
        </w:trPr>
        <w:tc>
          <w:tcPr>
            <w:tcW w:w="1271" w:type="dxa"/>
          </w:tcPr>
          <w:p w14:paraId="6D5EEAF6" w14:textId="77777777" w:rsidR="00EF2895" w:rsidRPr="00EF2895" w:rsidRDefault="00EF2895" w:rsidP="00EF2895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EF289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šifra 352</w:t>
            </w:r>
          </w:p>
          <w:p w14:paraId="6D68DB85" w14:textId="77777777" w:rsidR="00EF2895" w:rsidRPr="00EF2895" w:rsidRDefault="00EF2895" w:rsidP="00EF2895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</w:p>
        </w:tc>
        <w:tc>
          <w:tcPr>
            <w:tcW w:w="8017" w:type="dxa"/>
          </w:tcPr>
          <w:p w14:paraId="6ABA7CC4" w14:textId="77777777" w:rsidR="00EF2895" w:rsidRPr="00EF2895" w:rsidRDefault="00EF2895" w:rsidP="00EF2895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EF289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odnosi se na KZŽ i isplatu potpora za regresiranje kamata, povećanje proizvodnje, promociju proizvoda, potporu za proizvodnju mlinaca i zagorskih štruklji</w:t>
            </w:r>
          </w:p>
          <w:p w14:paraId="0F516A5C" w14:textId="77777777" w:rsidR="00EF2895" w:rsidRPr="00EF2895" w:rsidRDefault="00EF2895" w:rsidP="00EF2895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</w:p>
        </w:tc>
      </w:tr>
      <w:tr w:rsidR="00EF2895" w:rsidRPr="00EF2895" w14:paraId="49B51BAC" w14:textId="77777777" w:rsidTr="00D845A4">
        <w:trPr>
          <w:trHeight w:val="291"/>
        </w:trPr>
        <w:tc>
          <w:tcPr>
            <w:tcW w:w="1271" w:type="dxa"/>
          </w:tcPr>
          <w:p w14:paraId="1BCBDF10" w14:textId="77777777" w:rsidR="00EF2895" w:rsidRPr="00EF2895" w:rsidRDefault="00EF2895" w:rsidP="00EF2895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EF289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šifra 353</w:t>
            </w:r>
          </w:p>
        </w:tc>
        <w:tc>
          <w:tcPr>
            <w:tcW w:w="8017" w:type="dxa"/>
          </w:tcPr>
          <w:p w14:paraId="773931CA" w14:textId="77777777" w:rsidR="00EF2895" w:rsidRPr="00EF2895" w:rsidRDefault="00EF2895" w:rsidP="00EF2895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EF289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odnosi se na KZŽ i isplatu partnerima na projektu Hypokrat</w:t>
            </w:r>
          </w:p>
          <w:p w14:paraId="68380F70" w14:textId="77777777" w:rsidR="00EF2895" w:rsidRPr="00EF2895" w:rsidRDefault="00EF2895" w:rsidP="00EF2895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</w:p>
        </w:tc>
      </w:tr>
      <w:tr w:rsidR="00EF2895" w:rsidRPr="00EF2895" w14:paraId="64B92F51" w14:textId="77777777" w:rsidTr="00D845A4">
        <w:trPr>
          <w:trHeight w:val="270"/>
        </w:trPr>
        <w:tc>
          <w:tcPr>
            <w:tcW w:w="1271" w:type="dxa"/>
          </w:tcPr>
          <w:p w14:paraId="43F3631C" w14:textId="77777777" w:rsidR="00EF2895" w:rsidRPr="00EF2895" w:rsidRDefault="00EF2895" w:rsidP="00EF2895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EF289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šifra 363</w:t>
            </w:r>
          </w:p>
        </w:tc>
        <w:tc>
          <w:tcPr>
            <w:tcW w:w="8017" w:type="dxa"/>
          </w:tcPr>
          <w:p w14:paraId="6B2E09E7" w14:textId="77777777" w:rsidR="00EF2895" w:rsidRPr="00EF2895" w:rsidRDefault="00EF2895" w:rsidP="00EF2895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EF289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smanjenje kod Krapinsko-zagorske županije jer u tekućem razdoblju nije bilo danih kapitalnih pomoći jedinicama lokalne samouprave za ublažavanje posljedica nastalih tučom</w:t>
            </w:r>
          </w:p>
          <w:p w14:paraId="603ECFDD" w14:textId="77777777" w:rsidR="00EF2895" w:rsidRPr="00EF2895" w:rsidRDefault="00EF2895" w:rsidP="00EF2895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</w:p>
        </w:tc>
      </w:tr>
      <w:tr w:rsidR="00EF2895" w:rsidRPr="00EF2895" w14:paraId="3B8D9E95" w14:textId="77777777" w:rsidTr="00D845A4">
        <w:trPr>
          <w:trHeight w:val="270"/>
        </w:trPr>
        <w:tc>
          <w:tcPr>
            <w:tcW w:w="1271" w:type="dxa"/>
          </w:tcPr>
          <w:p w14:paraId="2F59350E" w14:textId="77777777" w:rsidR="00EF2895" w:rsidRPr="00EF2895" w:rsidRDefault="00EF2895" w:rsidP="00EF2895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EF289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šifra 366</w:t>
            </w:r>
          </w:p>
        </w:tc>
        <w:tc>
          <w:tcPr>
            <w:tcW w:w="8017" w:type="dxa"/>
          </w:tcPr>
          <w:p w14:paraId="0C5532E1" w14:textId="77777777" w:rsidR="00EF2895" w:rsidRPr="00EF2895" w:rsidRDefault="00EF2895" w:rsidP="00EF2895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EF289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u tekućem razdoblju povećanje kod Krapinsko-zagorske županije jer je Opća bolnica Zabok od 01.01.2024. proračunski korisnik državnog proračuna pa je promijenjen i način knjiženja isplata</w:t>
            </w:r>
          </w:p>
        </w:tc>
      </w:tr>
      <w:tr w:rsidR="00EF2895" w:rsidRPr="00EF2895" w14:paraId="491C4705" w14:textId="77777777" w:rsidTr="00D845A4">
        <w:trPr>
          <w:trHeight w:val="270"/>
        </w:trPr>
        <w:tc>
          <w:tcPr>
            <w:tcW w:w="1271" w:type="dxa"/>
          </w:tcPr>
          <w:p w14:paraId="4309807D" w14:textId="77777777" w:rsidR="00EF2895" w:rsidRPr="00EF2895" w:rsidRDefault="00EF2895" w:rsidP="00EF2895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</w:p>
        </w:tc>
        <w:tc>
          <w:tcPr>
            <w:tcW w:w="8017" w:type="dxa"/>
          </w:tcPr>
          <w:p w14:paraId="5E930464" w14:textId="77777777" w:rsidR="00EF2895" w:rsidRPr="00EF2895" w:rsidRDefault="00EF2895" w:rsidP="00EF2895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</w:p>
        </w:tc>
      </w:tr>
      <w:tr w:rsidR="00EF2895" w:rsidRPr="00EF2895" w14:paraId="7EC0D34D" w14:textId="77777777" w:rsidTr="00D845A4">
        <w:trPr>
          <w:trHeight w:val="485"/>
        </w:trPr>
        <w:tc>
          <w:tcPr>
            <w:tcW w:w="1271" w:type="dxa"/>
          </w:tcPr>
          <w:p w14:paraId="5CDD6AB9" w14:textId="77777777" w:rsidR="00EF2895" w:rsidRPr="00EF2895" w:rsidRDefault="00EF2895" w:rsidP="00EF2895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EF289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šifra 368</w:t>
            </w:r>
          </w:p>
        </w:tc>
        <w:tc>
          <w:tcPr>
            <w:tcW w:w="8017" w:type="dxa"/>
          </w:tcPr>
          <w:p w14:paraId="3554283B" w14:textId="77777777" w:rsidR="00EF2895" w:rsidRPr="00EF2895" w:rsidRDefault="00EF2895" w:rsidP="00EF2895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EF289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značajno smanjenje odnosi se na Krapinsko-zagorsku županiju jer nije bilo kapitalne pomoći jedinicama lokalne samouprave i Županijskoj upravi za ceste za sanaciju klizišta i sanaciju cesta uslijed posljedica potresa (sredstva Fonda solidarnosti)</w:t>
            </w:r>
          </w:p>
          <w:p w14:paraId="78981DEC" w14:textId="77777777" w:rsidR="00EF2895" w:rsidRPr="00EF2895" w:rsidRDefault="00EF2895" w:rsidP="00EF2895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</w:p>
        </w:tc>
      </w:tr>
      <w:tr w:rsidR="00EF2895" w:rsidRPr="00EF2895" w14:paraId="37B1B80D" w14:textId="77777777" w:rsidTr="00D845A4">
        <w:trPr>
          <w:trHeight w:val="485"/>
        </w:trPr>
        <w:tc>
          <w:tcPr>
            <w:tcW w:w="1271" w:type="dxa"/>
          </w:tcPr>
          <w:p w14:paraId="467738D1" w14:textId="77777777" w:rsidR="00EF2895" w:rsidRPr="00EF2895" w:rsidRDefault="00EF2895" w:rsidP="00EF2895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EF289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šifra 372</w:t>
            </w:r>
          </w:p>
        </w:tc>
        <w:tc>
          <w:tcPr>
            <w:tcW w:w="8017" w:type="dxa"/>
          </w:tcPr>
          <w:p w14:paraId="66CB8FE7" w14:textId="77777777" w:rsidR="00EF2895" w:rsidRPr="00EF2895" w:rsidRDefault="00EF2895" w:rsidP="00EF28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28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značajnije smanjenje u tekućem razdoblju kod KZŽ jer nije bilo isplata jednokratnih novčanih pomoći osobama u privremenom smještaju zbog posljedica potresa </w:t>
            </w:r>
          </w:p>
          <w:p w14:paraId="2A5C72ED" w14:textId="77777777" w:rsidR="00EF2895" w:rsidRPr="00EF2895" w:rsidRDefault="00EF2895" w:rsidP="00EF2895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</w:p>
        </w:tc>
      </w:tr>
      <w:tr w:rsidR="00EF2895" w:rsidRPr="00EF2895" w14:paraId="18B7BF69" w14:textId="77777777" w:rsidTr="00D845A4">
        <w:trPr>
          <w:trHeight w:val="485"/>
        </w:trPr>
        <w:tc>
          <w:tcPr>
            <w:tcW w:w="1271" w:type="dxa"/>
          </w:tcPr>
          <w:p w14:paraId="37EEAF47" w14:textId="77777777" w:rsidR="00EF2895" w:rsidRPr="00EF2895" w:rsidRDefault="00EF2895" w:rsidP="00EF2895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EF289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šifra 382</w:t>
            </w:r>
          </w:p>
        </w:tc>
        <w:tc>
          <w:tcPr>
            <w:tcW w:w="8017" w:type="dxa"/>
          </w:tcPr>
          <w:p w14:paraId="5AC7077D" w14:textId="77777777" w:rsidR="00EF2895" w:rsidRPr="00EF2895" w:rsidRDefault="00EF2895" w:rsidP="00EF28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28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povećanje u tekućem razdoblju kod KZŽ odnosi se na troškove samoobnove obiteljskih kuća od posljedica potresa </w:t>
            </w:r>
          </w:p>
          <w:p w14:paraId="2077384E" w14:textId="77777777" w:rsidR="00EF2895" w:rsidRPr="00EF2895" w:rsidRDefault="00EF2895" w:rsidP="00EF2895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</w:p>
        </w:tc>
      </w:tr>
      <w:tr w:rsidR="00EF2895" w:rsidRPr="00EF2895" w14:paraId="5B0DB539" w14:textId="77777777" w:rsidTr="00D845A4">
        <w:trPr>
          <w:trHeight w:val="485"/>
        </w:trPr>
        <w:tc>
          <w:tcPr>
            <w:tcW w:w="1271" w:type="dxa"/>
          </w:tcPr>
          <w:p w14:paraId="5C36E606" w14:textId="77777777" w:rsidR="00EF2895" w:rsidRPr="00EF2895" w:rsidRDefault="00EF2895" w:rsidP="00EF2895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EF289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šifra 711</w:t>
            </w:r>
          </w:p>
        </w:tc>
        <w:tc>
          <w:tcPr>
            <w:tcW w:w="8017" w:type="dxa"/>
          </w:tcPr>
          <w:p w14:paraId="41236DF0" w14:textId="77777777" w:rsidR="00EF2895" w:rsidRPr="00EF2895" w:rsidRDefault="00EF2895" w:rsidP="00EF2895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EF289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u izvještajnom razdoblju prethodne godine Krapinsko-zagorska županija evidentirala je dosuđenu imovinu (zemljišta) kao naplatu potraživanja</w:t>
            </w:r>
          </w:p>
          <w:p w14:paraId="073D7066" w14:textId="77777777" w:rsidR="00EF2895" w:rsidRPr="00EF2895" w:rsidRDefault="00EF2895" w:rsidP="00EF2895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</w:p>
        </w:tc>
      </w:tr>
      <w:tr w:rsidR="00EF2895" w:rsidRPr="00EF2895" w14:paraId="0CCA7889" w14:textId="77777777" w:rsidTr="00D845A4">
        <w:trPr>
          <w:trHeight w:val="230"/>
        </w:trPr>
        <w:tc>
          <w:tcPr>
            <w:tcW w:w="1271" w:type="dxa"/>
          </w:tcPr>
          <w:p w14:paraId="37EE2014" w14:textId="77777777" w:rsidR="00EF2895" w:rsidRPr="00EF2895" w:rsidRDefault="00EF2895" w:rsidP="00EF2895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EF289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lastRenderedPageBreak/>
              <w:t>šifra 724</w:t>
            </w:r>
          </w:p>
        </w:tc>
        <w:tc>
          <w:tcPr>
            <w:tcW w:w="8017" w:type="dxa"/>
          </w:tcPr>
          <w:p w14:paraId="455166F9" w14:textId="77777777" w:rsidR="00EF2895" w:rsidRPr="00EF2895" w:rsidRDefault="00EF2895" w:rsidP="00EF2895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EF289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Prethodne godine evidentirani su prihodi od prodaje rashodovanih knjiga iz knjižnice, a koju su provodili učenici kod korisnika Srednja škola Konjščina</w:t>
            </w:r>
          </w:p>
          <w:p w14:paraId="5EE831C7" w14:textId="77777777" w:rsidR="00EF2895" w:rsidRPr="00EF2895" w:rsidRDefault="00EF2895" w:rsidP="00EF2895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</w:p>
        </w:tc>
      </w:tr>
      <w:tr w:rsidR="00EF2895" w:rsidRPr="00EF2895" w14:paraId="38972681" w14:textId="77777777" w:rsidTr="00D845A4">
        <w:trPr>
          <w:trHeight w:val="230"/>
        </w:trPr>
        <w:tc>
          <w:tcPr>
            <w:tcW w:w="1271" w:type="dxa"/>
          </w:tcPr>
          <w:p w14:paraId="4E7EE00F" w14:textId="77777777" w:rsidR="00EF2895" w:rsidRPr="00EF2895" w:rsidRDefault="00EF2895" w:rsidP="00EF2895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EF289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šifra 412</w:t>
            </w:r>
          </w:p>
        </w:tc>
        <w:tc>
          <w:tcPr>
            <w:tcW w:w="8017" w:type="dxa"/>
          </w:tcPr>
          <w:p w14:paraId="74667371" w14:textId="77777777" w:rsidR="00EF2895" w:rsidRPr="00EF2895" w:rsidRDefault="00EF2895" w:rsidP="00EF2895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EF289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 xml:space="preserve">smanjenje u tekućem razdoblju jer je Opća bolnica Zabok od 01.01.2024. proračunski korisnik državnog proračuna </w:t>
            </w:r>
          </w:p>
          <w:p w14:paraId="1967A7A5" w14:textId="77777777" w:rsidR="00EF2895" w:rsidRPr="00EF2895" w:rsidRDefault="00EF2895" w:rsidP="00EF2895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</w:p>
        </w:tc>
      </w:tr>
      <w:tr w:rsidR="00EF2895" w:rsidRPr="00EF2895" w14:paraId="4780746D" w14:textId="77777777" w:rsidTr="00D845A4">
        <w:trPr>
          <w:trHeight w:val="230"/>
        </w:trPr>
        <w:tc>
          <w:tcPr>
            <w:tcW w:w="1271" w:type="dxa"/>
          </w:tcPr>
          <w:p w14:paraId="19ACFA3B" w14:textId="77777777" w:rsidR="00EF2895" w:rsidRPr="00EF2895" w:rsidRDefault="00EF2895" w:rsidP="00EF2895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EF289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šifra 421</w:t>
            </w:r>
          </w:p>
        </w:tc>
        <w:tc>
          <w:tcPr>
            <w:tcW w:w="8017" w:type="dxa"/>
          </w:tcPr>
          <w:p w14:paraId="1C087B55" w14:textId="77777777" w:rsidR="00EF2895" w:rsidRPr="00EF2895" w:rsidRDefault="00EF2895" w:rsidP="00EF2895">
            <w:pPr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F2895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značajno smanjenje kod KZŽ zbog završetka projekata izgradnje PŠ Laz Bistrički i sigurne kuće Novi početak te kod SŠ Zabok zbog završetka projekta izgradnje Regionalnog centra kompetencija u turizmu i ugostiteljstvu te sportske dvorane</w:t>
            </w:r>
          </w:p>
          <w:p w14:paraId="0C7033D0" w14:textId="77777777" w:rsidR="00EF2895" w:rsidRPr="00EF2895" w:rsidRDefault="00EF2895" w:rsidP="00EF2895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</w:p>
        </w:tc>
      </w:tr>
      <w:tr w:rsidR="00EF2895" w:rsidRPr="00EF2895" w14:paraId="581729B5" w14:textId="77777777" w:rsidTr="00D845A4">
        <w:trPr>
          <w:trHeight w:val="230"/>
        </w:trPr>
        <w:tc>
          <w:tcPr>
            <w:tcW w:w="1271" w:type="dxa"/>
          </w:tcPr>
          <w:p w14:paraId="25FF467A" w14:textId="77777777" w:rsidR="00EF2895" w:rsidRPr="00EF2895" w:rsidRDefault="00EF2895" w:rsidP="00EF2895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EF289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šifra 451</w:t>
            </w:r>
          </w:p>
        </w:tc>
        <w:tc>
          <w:tcPr>
            <w:tcW w:w="8017" w:type="dxa"/>
          </w:tcPr>
          <w:p w14:paraId="4D3F77BB" w14:textId="77777777" w:rsidR="00EF2895" w:rsidRPr="00EF2895" w:rsidRDefault="00EF2895" w:rsidP="00EF2895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pl-PL" w:eastAsia="hr-HR"/>
              </w:rPr>
            </w:pPr>
            <w:r w:rsidRPr="00EF289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bilježi se smanjenje kod KZŽ zbog završetka obnove od potresa dvorca Stubički Golubovec te osnovnih i srednjih škola. Također smanjenje kod korisnika Specijalna bolnica za medicinsku rehabilitaciju Krapinske Toplice</w:t>
            </w:r>
            <w:r w:rsidRPr="00EF289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pl-PL" w:eastAsia="hr-HR"/>
              </w:rPr>
              <w:t xml:space="preserve"> radi završeka projekata za operacije koje se financiraju iz Fonda solidarnosti Europske unije te uključuje izradu PTD cjelovite obnove stare zgrade, cjelovitu obnovu NBO (više od 85% izvedenih radova) i rekonstrukciju kotlovnice i glavne toplinske stanice i zamjenu dotrajalih klima komora (više od 25% izvedenih radova) uz potrebne nadzore </w:t>
            </w:r>
          </w:p>
          <w:p w14:paraId="16E130BB" w14:textId="77777777" w:rsidR="00EF2895" w:rsidRPr="00EF2895" w:rsidRDefault="00EF2895" w:rsidP="00EF2895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EF289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 xml:space="preserve"> </w:t>
            </w:r>
          </w:p>
        </w:tc>
      </w:tr>
      <w:tr w:rsidR="00EF2895" w:rsidRPr="00EF2895" w14:paraId="3109B9E6" w14:textId="77777777" w:rsidTr="00D845A4">
        <w:tc>
          <w:tcPr>
            <w:tcW w:w="1271" w:type="dxa"/>
          </w:tcPr>
          <w:p w14:paraId="0BA7F24D" w14:textId="77777777" w:rsidR="00EF2895" w:rsidRPr="00EF2895" w:rsidRDefault="00EF2895" w:rsidP="00EF2895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EF289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šifra 844</w:t>
            </w:r>
          </w:p>
        </w:tc>
        <w:tc>
          <w:tcPr>
            <w:tcW w:w="8017" w:type="dxa"/>
          </w:tcPr>
          <w:p w14:paraId="45073CE1" w14:textId="77777777" w:rsidR="00EF2895" w:rsidRPr="00EF2895" w:rsidRDefault="00EF2895" w:rsidP="00EF2895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EF289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u izvještajnom razdoblju prethodne godine evidentirano je kod korisnika Srednja škola Zabok kreditno zaduženje za izgradnju Regionalnog centra kompetencije u iznosu 3.468.359,28 EUR te kratkoročni kredit korisnika Specijalna bolnica za medicinsku rehabilitaciju Krapinske Toplice u iznosu 120.657,10 EUR</w:t>
            </w:r>
          </w:p>
          <w:p w14:paraId="41B75376" w14:textId="77777777" w:rsidR="00EF2895" w:rsidRPr="00EF2895" w:rsidRDefault="00EF2895" w:rsidP="00EF2895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</w:p>
        </w:tc>
      </w:tr>
      <w:tr w:rsidR="00EF2895" w:rsidRPr="00EF2895" w14:paraId="5D80FEA6" w14:textId="77777777" w:rsidTr="00D845A4">
        <w:tc>
          <w:tcPr>
            <w:tcW w:w="1271" w:type="dxa"/>
          </w:tcPr>
          <w:p w14:paraId="5D2D72D6" w14:textId="77777777" w:rsidR="00EF2895" w:rsidRPr="00EF2895" w:rsidRDefault="00EF2895" w:rsidP="00EF2895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EF289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šifra 515</w:t>
            </w:r>
          </w:p>
        </w:tc>
        <w:tc>
          <w:tcPr>
            <w:tcW w:w="8017" w:type="dxa"/>
          </w:tcPr>
          <w:p w14:paraId="339B641E" w14:textId="77777777" w:rsidR="00EF2895" w:rsidRPr="00EF2895" w:rsidRDefault="00EF2895" w:rsidP="00EF2895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EF289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odnosi se na korisnika Dom zdravlja Krapinsko-zagorske županije-oročena sredstva u banci (dobivena kamata na prethodno oročena sredstva je ponovno oročena)</w:t>
            </w:r>
          </w:p>
          <w:p w14:paraId="6B5CADB6" w14:textId="77777777" w:rsidR="00EF2895" w:rsidRPr="00EF2895" w:rsidRDefault="00EF2895" w:rsidP="00EF2895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</w:p>
        </w:tc>
      </w:tr>
      <w:tr w:rsidR="00EF2895" w:rsidRPr="00EF2895" w14:paraId="66F661F6" w14:textId="77777777" w:rsidTr="00D845A4">
        <w:tc>
          <w:tcPr>
            <w:tcW w:w="1271" w:type="dxa"/>
          </w:tcPr>
          <w:p w14:paraId="38B616EC" w14:textId="77777777" w:rsidR="00EF2895" w:rsidRPr="00EF2895" w:rsidRDefault="00EF2895" w:rsidP="00EF2895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EF289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šifra 544</w:t>
            </w:r>
          </w:p>
        </w:tc>
        <w:tc>
          <w:tcPr>
            <w:tcW w:w="8017" w:type="dxa"/>
          </w:tcPr>
          <w:p w14:paraId="3C9A35CC" w14:textId="77777777" w:rsidR="00EF2895" w:rsidRPr="00EF2895" w:rsidRDefault="00EF2895" w:rsidP="00EF2895">
            <w:pPr>
              <w:jc w:val="both"/>
              <w:rPr>
                <w:rFonts w:ascii="Times New Roman" w:eastAsia="Calibri" w:hAnsi="Times New Roman" w:cs="Times New Roman"/>
              </w:rPr>
            </w:pPr>
            <w:r w:rsidRPr="00EF289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povećanje otplate glavnice primljenih kredita najvećim dijelom odnosi se na KZŽ</w:t>
            </w:r>
            <w:r w:rsidRPr="00EF2895">
              <w:rPr>
                <w:rFonts w:ascii="Times New Roman" w:eastAsia="Calibri" w:hAnsi="Times New Roman" w:cs="Times New Roman"/>
              </w:rPr>
              <w:t xml:space="preserve"> radi povrata revolving kredita PBZ-u</w:t>
            </w:r>
          </w:p>
          <w:p w14:paraId="030EB9B1" w14:textId="77777777" w:rsidR="00EF2895" w:rsidRPr="00EF2895" w:rsidRDefault="00EF2895" w:rsidP="00EF2895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EF289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 xml:space="preserve"> </w:t>
            </w:r>
          </w:p>
        </w:tc>
      </w:tr>
      <w:tr w:rsidR="002C3738" w:rsidRPr="00EF2895" w14:paraId="0B0B4DE6" w14:textId="77777777" w:rsidTr="00D845A4">
        <w:tc>
          <w:tcPr>
            <w:tcW w:w="1271" w:type="dxa"/>
          </w:tcPr>
          <w:p w14:paraId="666B157C" w14:textId="62A82C43" w:rsidR="002C3738" w:rsidRDefault="002C3738" w:rsidP="00EF2895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šifre X006</w:t>
            </w:r>
          </w:p>
          <w:p w14:paraId="7FA9779E" w14:textId="117E4A65" w:rsidR="002C3738" w:rsidRPr="00EF2895" w:rsidRDefault="002C3738" w:rsidP="00EF2895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i Y006</w:t>
            </w:r>
          </w:p>
        </w:tc>
        <w:tc>
          <w:tcPr>
            <w:tcW w:w="8017" w:type="dxa"/>
          </w:tcPr>
          <w:p w14:paraId="235EE887" w14:textId="65E254BA" w:rsidR="002C3738" w:rsidRPr="00EF2895" w:rsidRDefault="002C3738" w:rsidP="00EF2895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 xml:space="preserve">u prethodnom razdoblju značajan manjak zbog Opće bolnice Zabok, a u tekućem razdoblju Opća bolnica Zabok postala je proračunski korisnik državnog proračuna te njezini manjkovi nisu uključeni u izvještaj sukladno  Okružnici Ministarstva financija </w:t>
            </w:r>
          </w:p>
        </w:tc>
      </w:tr>
      <w:tr w:rsidR="002C3738" w:rsidRPr="00EF2895" w14:paraId="5CA6E961" w14:textId="77777777" w:rsidTr="00D845A4">
        <w:tc>
          <w:tcPr>
            <w:tcW w:w="1271" w:type="dxa"/>
          </w:tcPr>
          <w:p w14:paraId="32228435" w14:textId="77777777" w:rsidR="002C3738" w:rsidRPr="00EF2895" w:rsidRDefault="002C3738" w:rsidP="00EF2895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</w:p>
        </w:tc>
        <w:tc>
          <w:tcPr>
            <w:tcW w:w="8017" w:type="dxa"/>
          </w:tcPr>
          <w:p w14:paraId="7136C16A" w14:textId="77777777" w:rsidR="002C3738" w:rsidRPr="00EF2895" w:rsidRDefault="002C3738" w:rsidP="00EF2895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</w:p>
        </w:tc>
      </w:tr>
    </w:tbl>
    <w:p w14:paraId="15191016" w14:textId="77777777" w:rsidR="00EF2895" w:rsidRDefault="00EF2895" w:rsidP="00EF2895">
      <w:pPr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</w:pPr>
    </w:p>
    <w:p w14:paraId="6EF23A18" w14:textId="77777777" w:rsidR="002A321D" w:rsidRDefault="002A321D" w:rsidP="00EF2895">
      <w:pPr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</w:pPr>
    </w:p>
    <w:p w14:paraId="1C84202C" w14:textId="77777777" w:rsidR="002A321D" w:rsidRDefault="002A321D" w:rsidP="00EF2895">
      <w:pPr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</w:pPr>
    </w:p>
    <w:p w14:paraId="20715F15" w14:textId="77777777" w:rsidR="002A321D" w:rsidRDefault="002A321D" w:rsidP="00EF2895">
      <w:pPr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</w:pPr>
    </w:p>
    <w:p w14:paraId="5754A7CC" w14:textId="77777777" w:rsidR="002A321D" w:rsidRDefault="002A321D" w:rsidP="00EF2895">
      <w:pPr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</w:pPr>
    </w:p>
    <w:p w14:paraId="190232C4" w14:textId="77777777" w:rsidR="002A321D" w:rsidRDefault="002A321D" w:rsidP="00EF2895">
      <w:pPr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</w:pPr>
    </w:p>
    <w:p w14:paraId="4A4573C9" w14:textId="77777777" w:rsidR="002A321D" w:rsidRDefault="002A321D" w:rsidP="00EF2895">
      <w:pPr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</w:pPr>
    </w:p>
    <w:p w14:paraId="3CFCD89F" w14:textId="77777777" w:rsidR="002A321D" w:rsidRDefault="002A321D" w:rsidP="00EF2895">
      <w:pPr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</w:pPr>
    </w:p>
    <w:p w14:paraId="1F02B80B" w14:textId="77777777" w:rsidR="002A321D" w:rsidRDefault="002A321D" w:rsidP="00EF2895">
      <w:pPr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</w:pPr>
    </w:p>
    <w:p w14:paraId="347FD561" w14:textId="77777777" w:rsidR="002A321D" w:rsidRDefault="002A321D" w:rsidP="00EF2895">
      <w:pPr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</w:pPr>
    </w:p>
    <w:p w14:paraId="0645FC9C" w14:textId="77777777" w:rsidR="002A321D" w:rsidRDefault="002A321D" w:rsidP="00EF2895">
      <w:pPr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</w:pPr>
    </w:p>
    <w:p w14:paraId="6C1C5AE2" w14:textId="77777777" w:rsidR="002A321D" w:rsidRDefault="002A321D" w:rsidP="00EF2895">
      <w:pPr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</w:pPr>
    </w:p>
    <w:p w14:paraId="638357A4" w14:textId="77777777" w:rsidR="002A321D" w:rsidRDefault="002A321D" w:rsidP="00EF2895">
      <w:pPr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</w:pPr>
    </w:p>
    <w:p w14:paraId="08F257D9" w14:textId="77777777" w:rsidR="008E6699" w:rsidRDefault="008E6699" w:rsidP="00EF2895">
      <w:pPr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</w:pPr>
    </w:p>
    <w:p w14:paraId="09AAD21F" w14:textId="77777777" w:rsidR="002A321D" w:rsidRDefault="002A321D" w:rsidP="00EF2895">
      <w:pPr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</w:pPr>
    </w:p>
    <w:p w14:paraId="67ABC770" w14:textId="77777777" w:rsidR="002A321D" w:rsidRPr="00EF2895" w:rsidRDefault="002A321D" w:rsidP="00EF2895">
      <w:pPr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</w:pPr>
    </w:p>
    <w:p w14:paraId="7D8ACDD1" w14:textId="77777777" w:rsidR="00EF2895" w:rsidRPr="00EF2895" w:rsidRDefault="00EF2895" w:rsidP="00EF2895">
      <w:pPr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2972"/>
        <w:gridCol w:w="1985"/>
        <w:gridCol w:w="1984"/>
        <w:gridCol w:w="2121"/>
      </w:tblGrid>
      <w:tr w:rsidR="00EF2895" w:rsidRPr="00EF2895" w14:paraId="7D005DF0" w14:textId="77777777" w:rsidTr="00D845A4">
        <w:tc>
          <w:tcPr>
            <w:tcW w:w="2972" w:type="dxa"/>
            <w:vAlign w:val="center"/>
          </w:tcPr>
          <w:p w14:paraId="5106C31C" w14:textId="77777777" w:rsidR="00EF2895" w:rsidRPr="00EF2895" w:rsidRDefault="00EF2895" w:rsidP="00EF2895">
            <w:pPr>
              <w:jc w:val="center"/>
              <w:rPr>
                <w:b/>
                <w:noProof w:val="0"/>
                <w:sz w:val="24"/>
                <w:szCs w:val="24"/>
                <w:u w:val="single"/>
              </w:rPr>
            </w:pPr>
            <w:bookmarkStart w:id="1" w:name="_Hlk140474549"/>
            <w:r w:rsidRPr="00EF2895">
              <w:rPr>
                <w:noProof w:val="0"/>
                <w:color w:val="000000"/>
                <w:sz w:val="24"/>
                <w:szCs w:val="24"/>
              </w:rPr>
              <w:t>Korisnik</w:t>
            </w:r>
          </w:p>
        </w:tc>
        <w:tc>
          <w:tcPr>
            <w:tcW w:w="1985" w:type="dxa"/>
            <w:vAlign w:val="center"/>
          </w:tcPr>
          <w:p w14:paraId="0B77F080" w14:textId="77777777" w:rsidR="00EF2895" w:rsidRPr="00EF2895" w:rsidRDefault="00EF2895" w:rsidP="00EF2895">
            <w:pPr>
              <w:jc w:val="center"/>
              <w:rPr>
                <w:b/>
                <w:noProof w:val="0"/>
                <w:sz w:val="24"/>
                <w:szCs w:val="24"/>
                <w:u w:val="single"/>
              </w:rPr>
            </w:pPr>
            <w:r w:rsidRPr="00EF2895">
              <w:rPr>
                <w:bCs/>
                <w:noProof w:val="0"/>
                <w:color w:val="000000"/>
                <w:sz w:val="24"/>
                <w:szCs w:val="24"/>
              </w:rPr>
              <w:t>šifra X005,Y005 višak/manjak prihoda i primitaka na dan 30.06.2024. (EUR)</w:t>
            </w:r>
          </w:p>
        </w:tc>
        <w:tc>
          <w:tcPr>
            <w:tcW w:w="1984" w:type="dxa"/>
            <w:vAlign w:val="center"/>
          </w:tcPr>
          <w:p w14:paraId="1352247C" w14:textId="77777777" w:rsidR="00EF2895" w:rsidRPr="00EF2895" w:rsidRDefault="00EF2895" w:rsidP="00EF2895">
            <w:pPr>
              <w:jc w:val="center"/>
              <w:rPr>
                <w:bCs/>
                <w:noProof w:val="0"/>
                <w:color w:val="000000"/>
                <w:sz w:val="24"/>
                <w:szCs w:val="24"/>
              </w:rPr>
            </w:pPr>
            <w:r w:rsidRPr="00EF2895">
              <w:rPr>
                <w:bCs/>
                <w:noProof w:val="0"/>
                <w:color w:val="000000"/>
                <w:sz w:val="24"/>
                <w:szCs w:val="24"/>
              </w:rPr>
              <w:t>šifra 9221-9222</w:t>
            </w:r>
          </w:p>
          <w:p w14:paraId="514E758C" w14:textId="77777777" w:rsidR="00EF2895" w:rsidRPr="00EF2895" w:rsidRDefault="00EF2895" w:rsidP="00EF2895">
            <w:pPr>
              <w:jc w:val="center"/>
              <w:rPr>
                <w:bCs/>
                <w:noProof w:val="0"/>
                <w:color w:val="000000"/>
                <w:sz w:val="24"/>
                <w:szCs w:val="24"/>
              </w:rPr>
            </w:pPr>
            <w:r w:rsidRPr="00EF2895">
              <w:rPr>
                <w:bCs/>
                <w:noProof w:val="0"/>
                <w:color w:val="000000"/>
                <w:sz w:val="24"/>
                <w:szCs w:val="24"/>
              </w:rPr>
              <w:t xml:space="preserve">šifra 9222-9221 višak/manjak prihoda i primitaka-preneseni na dan 30.06.2024. </w:t>
            </w:r>
          </w:p>
          <w:p w14:paraId="4A006728" w14:textId="77777777" w:rsidR="00EF2895" w:rsidRPr="00EF2895" w:rsidRDefault="00EF2895" w:rsidP="00EF2895">
            <w:pPr>
              <w:jc w:val="center"/>
              <w:rPr>
                <w:b/>
                <w:noProof w:val="0"/>
                <w:sz w:val="24"/>
                <w:szCs w:val="24"/>
                <w:u w:val="single"/>
              </w:rPr>
            </w:pPr>
            <w:r w:rsidRPr="00EF2895">
              <w:rPr>
                <w:bCs/>
                <w:noProof w:val="0"/>
                <w:color w:val="000000"/>
                <w:sz w:val="24"/>
                <w:szCs w:val="24"/>
              </w:rPr>
              <w:t>(EUR)</w:t>
            </w:r>
          </w:p>
        </w:tc>
        <w:tc>
          <w:tcPr>
            <w:tcW w:w="2121" w:type="dxa"/>
            <w:vAlign w:val="center"/>
          </w:tcPr>
          <w:p w14:paraId="0C824792" w14:textId="77777777" w:rsidR="00EF2895" w:rsidRPr="00EF2895" w:rsidRDefault="00EF2895" w:rsidP="00EF2895">
            <w:pPr>
              <w:jc w:val="center"/>
              <w:rPr>
                <w:b/>
                <w:noProof w:val="0"/>
                <w:sz w:val="24"/>
                <w:szCs w:val="24"/>
                <w:u w:val="single"/>
              </w:rPr>
            </w:pPr>
            <w:r w:rsidRPr="00EF2895">
              <w:rPr>
                <w:bCs/>
                <w:noProof w:val="0"/>
                <w:color w:val="000000"/>
                <w:sz w:val="24"/>
                <w:szCs w:val="24"/>
              </w:rPr>
              <w:t>šifra X006,Y006 višak/manjak prihoda i primitaka-raspoloživ/za pokriće na dan 30.06.2024. (EUR)</w:t>
            </w:r>
          </w:p>
        </w:tc>
      </w:tr>
      <w:tr w:rsidR="00EF2895" w:rsidRPr="00EF2895" w14:paraId="5F7A2560" w14:textId="77777777" w:rsidTr="00D845A4">
        <w:tc>
          <w:tcPr>
            <w:tcW w:w="2972" w:type="dxa"/>
            <w:vAlign w:val="center"/>
          </w:tcPr>
          <w:p w14:paraId="1220BF58" w14:textId="77777777" w:rsidR="00EF2895" w:rsidRPr="00EF2895" w:rsidRDefault="00EF2895" w:rsidP="00EF2895">
            <w:pPr>
              <w:jc w:val="both"/>
              <w:rPr>
                <w:b/>
                <w:noProof w:val="0"/>
                <w:sz w:val="24"/>
                <w:szCs w:val="24"/>
                <w:u w:val="single"/>
              </w:rPr>
            </w:pPr>
            <w:r w:rsidRPr="00EF2895">
              <w:rPr>
                <w:rFonts w:eastAsia="Calibri"/>
                <w:noProof w:val="0"/>
                <w:color w:val="000000"/>
                <w:sz w:val="24"/>
                <w:szCs w:val="24"/>
              </w:rPr>
              <w:t>Osnovne škole</w:t>
            </w:r>
          </w:p>
        </w:tc>
        <w:tc>
          <w:tcPr>
            <w:tcW w:w="1985" w:type="dxa"/>
            <w:vAlign w:val="center"/>
          </w:tcPr>
          <w:p w14:paraId="0D594FE4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-319.057,16</w:t>
            </w:r>
          </w:p>
        </w:tc>
        <w:tc>
          <w:tcPr>
            <w:tcW w:w="1984" w:type="dxa"/>
            <w:vAlign w:val="center"/>
          </w:tcPr>
          <w:p w14:paraId="365A84CB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517.491,37</w:t>
            </w:r>
          </w:p>
        </w:tc>
        <w:tc>
          <w:tcPr>
            <w:tcW w:w="2121" w:type="dxa"/>
            <w:vAlign w:val="center"/>
          </w:tcPr>
          <w:p w14:paraId="49A5249B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198.434,21</w:t>
            </w:r>
          </w:p>
        </w:tc>
      </w:tr>
      <w:tr w:rsidR="00EF2895" w:rsidRPr="00EF2895" w14:paraId="6FFB5CA5" w14:textId="77777777" w:rsidTr="00D845A4">
        <w:tc>
          <w:tcPr>
            <w:tcW w:w="2972" w:type="dxa"/>
            <w:vAlign w:val="center"/>
          </w:tcPr>
          <w:p w14:paraId="6BF8B042" w14:textId="77777777" w:rsidR="00EF2895" w:rsidRPr="00EF2895" w:rsidRDefault="00EF2895" w:rsidP="00EF2895">
            <w:pPr>
              <w:jc w:val="both"/>
              <w:rPr>
                <w:b/>
                <w:noProof w:val="0"/>
                <w:sz w:val="24"/>
                <w:szCs w:val="24"/>
                <w:u w:val="single"/>
              </w:rPr>
            </w:pPr>
            <w:r w:rsidRPr="00EF2895">
              <w:rPr>
                <w:rFonts w:eastAsia="Calibri"/>
                <w:noProof w:val="0"/>
                <w:color w:val="000000"/>
                <w:sz w:val="24"/>
                <w:szCs w:val="24"/>
              </w:rPr>
              <w:t>Srednje škole</w:t>
            </w:r>
          </w:p>
        </w:tc>
        <w:tc>
          <w:tcPr>
            <w:tcW w:w="1985" w:type="dxa"/>
            <w:vAlign w:val="center"/>
          </w:tcPr>
          <w:p w14:paraId="3E8ED2C1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-413.178,11</w:t>
            </w:r>
          </w:p>
        </w:tc>
        <w:tc>
          <w:tcPr>
            <w:tcW w:w="1984" w:type="dxa"/>
            <w:vAlign w:val="center"/>
          </w:tcPr>
          <w:p w14:paraId="08381CD8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1.405.277,43</w:t>
            </w:r>
          </w:p>
        </w:tc>
        <w:tc>
          <w:tcPr>
            <w:tcW w:w="2121" w:type="dxa"/>
            <w:vAlign w:val="center"/>
          </w:tcPr>
          <w:p w14:paraId="6BB73F11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992.099,32</w:t>
            </w:r>
          </w:p>
        </w:tc>
      </w:tr>
      <w:tr w:rsidR="00EF2895" w:rsidRPr="00EF2895" w14:paraId="59EB1EC4" w14:textId="77777777" w:rsidTr="00D845A4">
        <w:tc>
          <w:tcPr>
            <w:tcW w:w="2972" w:type="dxa"/>
            <w:vAlign w:val="center"/>
          </w:tcPr>
          <w:p w14:paraId="191E0E52" w14:textId="77777777" w:rsidR="00EF2895" w:rsidRPr="00EF2895" w:rsidRDefault="00EF2895" w:rsidP="00EF2895">
            <w:pPr>
              <w:jc w:val="both"/>
              <w:rPr>
                <w:b/>
                <w:noProof w:val="0"/>
                <w:sz w:val="24"/>
                <w:szCs w:val="24"/>
                <w:u w:val="single"/>
              </w:rPr>
            </w:pPr>
            <w:r w:rsidRPr="00EF2895">
              <w:rPr>
                <w:rFonts w:eastAsia="Calibri"/>
                <w:noProof w:val="0"/>
                <w:color w:val="000000"/>
                <w:sz w:val="24"/>
                <w:szCs w:val="24"/>
              </w:rPr>
              <w:t>Zdravstvene ustanove</w:t>
            </w:r>
          </w:p>
        </w:tc>
        <w:tc>
          <w:tcPr>
            <w:tcW w:w="1985" w:type="dxa"/>
            <w:vAlign w:val="center"/>
          </w:tcPr>
          <w:p w14:paraId="31181451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-1.513.045,91</w:t>
            </w:r>
          </w:p>
        </w:tc>
        <w:tc>
          <w:tcPr>
            <w:tcW w:w="1984" w:type="dxa"/>
            <w:vAlign w:val="center"/>
          </w:tcPr>
          <w:p w14:paraId="03D02792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-11.765.693,20</w:t>
            </w:r>
          </w:p>
        </w:tc>
        <w:tc>
          <w:tcPr>
            <w:tcW w:w="2121" w:type="dxa"/>
            <w:vAlign w:val="center"/>
          </w:tcPr>
          <w:p w14:paraId="638AABBB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-13.278.739,11</w:t>
            </w:r>
          </w:p>
        </w:tc>
      </w:tr>
      <w:tr w:rsidR="00EF2895" w:rsidRPr="00EF2895" w14:paraId="6228D382" w14:textId="77777777" w:rsidTr="00D845A4">
        <w:tc>
          <w:tcPr>
            <w:tcW w:w="2972" w:type="dxa"/>
            <w:vAlign w:val="center"/>
          </w:tcPr>
          <w:p w14:paraId="2C082C62" w14:textId="77777777" w:rsidR="00EF2895" w:rsidRPr="00EF2895" w:rsidRDefault="00EF2895" w:rsidP="00EF2895">
            <w:pPr>
              <w:jc w:val="both"/>
              <w:rPr>
                <w:b/>
                <w:noProof w:val="0"/>
                <w:sz w:val="24"/>
                <w:szCs w:val="24"/>
                <w:u w:val="single"/>
              </w:rPr>
            </w:pPr>
            <w:r w:rsidRPr="00EF2895">
              <w:rPr>
                <w:rFonts w:eastAsia="Calibri"/>
                <w:noProof w:val="0"/>
                <w:color w:val="000000"/>
                <w:sz w:val="24"/>
                <w:szCs w:val="24"/>
              </w:rPr>
              <w:t>Krapinsko-zagorska županija</w:t>
            </w:r>
          </w:p>
        </w:tc>
        <w:tc>
          <w:tcPr>
            <w:tcW w:w="1985" w:type="dxa"/>
            <w:vAlign w:val="center"/>
          </w:tcPr>
          <w:p w14:paraId="509B63A6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4.180.400,23</w:t>
            </w:r>
          </w:p>
        </w:tc>
        <w:tc>
          <w:tcPr>
            <w:tcW w:w="1984" w:type="dxa"/>
            <w:vAlign w:val="center"/>
          </w:tcPr>
          <w:p w14:paraId="744AAC0C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7.575.799,58</w:t>
            </w:r>
          </w:p>
        </w:tc>
        <w:tc>
          <w:tcPr>
            <w:tcW w:w="2121" w:type="dxa"/>
            <w:vAlign w:val="center"/>
          </w:tcPr>
          <w:p w14:paraId="6FB732E8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11.756.199,81</w:t>
            </w:r>
          </w:p>
        </w:tc>
      </w:tr>
      <w:tr w:rsidR="00EF2895" w:rsidRPr="00EF2895" w14:paraId="177E8EDB" w14:textId="77777777" w:rsidTr="00D845A4">
        <w:tc>
          <w:tcPr>
            <w:tcW w:w="2972" w:type="dxa"/>
            <w:vAlign w:val="center"/>
          </w:tcPr>
          <w:p w14:paraId="53470B5A" w14:textId="77777777" w:rsidR="00EF2895" w:rsidRPr="00EF2895" w:rsidRDefault="00EF2895" w:rsidP="00EF2895">
            <w:pPr>
              <w:jc w:val="both"/>
              <w:rPr>
                <w:b/>
                <w:noProof w:val="0"/>
                <w:sz w:val="24"/>
                <w:szCs w:val="24"/>
                <w:u w:val="single"/>
              </w:rPr>
            </w:pPr>
            <w:r w:rsidRPr="00EF2895">
              <w:rPr>
                <w:rFonts w:eastAsia="Calibri"/>
                <w:noProof w:val="0"/>
                <w:color w:val="000000"/>
                <w:sz w:val="24"/>
                <w:szCs w:val="24"/>
              </w:rPr>
              <w:t>Zavod za prostorno uređenje</w:t>
            </w:r>
          </w:p>
        </w:tc>
        <w:tc>
          <w:tcPr>
            <w:tcW w:w="1985" w:type="dxa"/>
            <w:vAlign w:val="center"/>
          </w:tcPr>
          <w:p w14:paraId="678B4F77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0,00</w:t>
            </w:r>
          </w:p>
        </w:tc>
        <w:tc>
          <w:tcPr>
            <w:tcW w:w="1984" w:type="dxa"/>
            <w:vAlign w:val="center"/>
          </w:tcPr>
          <w:p w14:paraId="667464EA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34.076,66</w:t>
            </w:r>
          </w:p>
        </w:tc>
        <w:tc>
          <w:tcPr>
            <w:tcW w:w="2121" w:type="dxa"/>
            <w:vAlign w:val="center"/>
          </w:tcPr>
          <w:p w14:paraId="1A50594D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34.076,66</w:t>
            </w:r>
          </w:p>
        </w:tc>
      </w:tr>
      <w:tr w:rsidR="00EF2895" w:rsidRPr="00EF2895" w14:paraId="2959DBDA" w14:textId="77777777" w:rsidTr="00D845A4">
        <w:tc>
          <w:tcPr>
            <w:tcW w:w="2972" w:type="dxa"/>
            <w:vAlign w:val="center"/>
          </w:tcPr>
          <w:p w14:paraId="6D3B1DA8" w14:textId="77777777" w:rsidR="00EF2895" w:rsidRPr="00EF2895" w:rsidRDefault="00EF2895" w:rsidP="00EF2895">
            <w:pPr>
              <w:jc w:val="both"/>
              <w:rPr>
                <w:b/>
                <w:noProof w:val="0"/>
                <w:sz w:val="24"/>
                <w:szCs w:val="24"/>
                <w:u w:val="single"/>
              </w:rPr>
            </w:pPr>
            <w:r w:rsidRPr="00EF2895">
              <w:rPr>
                <w:rFonts w:eastAsia="Calibri"/>
                <w:noProof w:val="0"/>
                <w:color w:val="000000"/>
                <w:sz w:val="24"/>
                <w:szCs w:val="24"/>
              </w:rPr>
              <w:t>Javna ustanova Zagorje zeleno</w:t>
            </w:r>
          </w:p>
        </w:tc>
        <w:tc>
          <w:tcPr>
            <w:tcW w:w="1985" w:type="dxa"/>
            <w:vAlign w:val="center"/>
          </w:tcPr>
          <w:p w14:paraId="0FED956B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0,30</w:t>
            </w:r>
          </w:p>
        </w:tc>
        <w:tc>
          <w:tcPr>
            <w:tcW w:w="1984" w:type="dxa"/>
            <w:vAlign w:val="center"/>
          </w:tcPr>
          <w:p w14:paraId="2889E631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1,97</w:t>
            </w:r>
          </w:p>
        </w:tc>
        <w:tc>
          <w:tcPr>
            <w:tcW w:w="2121" w:type="dxa"/>
            <w:vAlign w:val="center"/>
          </w:tcPr>
          <w:p w14:paraId="4D50A1BE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2,27</w:t>
            </w:r>
          </w:p>
        </w:tc>
      </w:tr>
      <w:tr w:rsidR="00EF2895" w:rsidRPr="00EF2895" w14:paraId="2D90CB65" w14:textId="77777777" w:rsidTr="00D845A4">
        <w:tc>
          <w:tcPr>
            <w:tcW w:w="2972" w:type="dxa"/>
            <w:vAlign w:val="center"/>
          </w:tcPr>
          <w:p w14:paraId="77540E43" w14:textId="77777777" w:rsidR="00EF2895" w:rsidRPr="00EF2895" w:rsidRDefault="00EF2895" w:rsidP="00EF2895">
            <w:pPr>
              <w:jc w:val="both"/>
              <w:rPr>
                <w:b/>
                <w:noProof w:val="0"/>
                <w:sz w:val="24"/>
                <w:szCs w:val="24"/>
                <w:u w:val="single"/>
              </w:rPr>
            </w:pPr>
            <w:r w:rsidRPr="00EF2895">
              <w:rPr>
                <w:rFonts w:eastAsia="Calibri"/>
                <w:noProof w:val="0"/>
                <w:color w:val="000000"/>
                <w:sz w:val="24"/>
                <w:szCs w:val="24"/>
              </w:rPr>
              <w:t>Zagorska razvojna agencija</w:t>
            </w:r>
          </w:p>
        </w:tc>
        <w:tc>
          <w:tcPr>
            <w:tcW w:w="1985" w:type="dxa"/>
            <w:vAlign w:val="center"/>
          </w:tcPr>
          <w:p w14:paraId="6EB418E6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311.443,80</w:t>
            </w:r>
          </w:p>
        </w:tc>
        <w:tc>
          <w:tcPr>
            <w:tcW w:w="1984" w:type="dxa"/>
            <w:vAlign w:val="center"/>
          </w:tcPr>
          <w:p w14:paraId="0E2C1370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13.936,94</w:t>
            </w:r>
          </w:p>
        </w:tc>
        <w:tc>
          <w:tcPr>
            <w:tcW w:w="2121" w:type="dxa"/>
            <w:vAlign w:val="center"/>
          </w:tcPr>
          <w:p w14:paraId="4BF2681C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325.380,74</w:t>
            </w:r>
          </w:p>
        </w:tc>
      </w:tr>
      <w:tr w:rsidR="00EF2895" w:rsidRPr="00EF2895" w14:paraId="3F3C618B" w14:textId="77777777" w:rsidTr="00D845A4">
        <w:tc>
          <w:tcPr>
            <w:tcW w:w="2972" w:type="dxa"/>
            <w:vAlign w:val="center"/>
          </w:tcPr>
          <w:p w14:paraId="26D7B7A3" w14:textId="77777777" w:rsidR="00EF2895" w:rsidRPr="00EF2895" w:rsidRDefault="00EF2895" w:rsidP="00EF2895">
            <w:pPr>
              <w:jc w:val="both"/>
              <w:rPr>
                <w:b/>
                <w:noProof w:val="0"/>
                <w:sz w:val="24"/>
                <w:szCs w:val="24"/>
                <w:u w:val="single"/>
              </w:rPr>
            </w:pPr>
            <w:r w:rsidRPr="00EF2895">
              <w:rPr>
                <w:rFonts w:eastAsia="Calibri"/>
                <w:noProof w:val="0"/>
                <w:color w:val="000000"/>
                <w:sz w:val="24"/>
                <w:szCs w:val="24"/>
              </w:rPr>
              <w:t>Dom Novi početak</w:t>
            </w:r>
          </w:p>
        </w:tc>
        <w:tc>
          <w:tcPr>
            <w:tcW w:w="1985" w:type="dxa"/>
            <w:vAlign w:val="center"/>
          </w:tcPr>
          <w:p w14:paraId="3CACA8CE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52.644,73</w:t>
            </w:r>
          </w:p>
        </w:tc>
        <w:tc>
          <w:tcPr>
            <w:tcW w:w="1984" w:type="dxa"/>
            <w:vAlign w:val="center"/>
          </w:tcPr>
          <w:p w14:paraId="46D4B057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-250,55</w:t>
            </w:r>
          </w:p>
        </w:tc>
        <w:tc>
          <w:tcPr>
            <w:tcW w:w="2121" w:type="dxa"/>
            <w:vAlign w:val="center"/>
          </w:tcPr>
          <w:p w14:paraId="687DDAB6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52.394,18</w:t>
            </w:r>
          </w:p>
        </w:tc>
      </w:tr>
      <w:tr w:rsidR="00EF2895" w:rsidRPr="00EF2895" w14:paraId="71001D5C" w14:textId="77777777" w:rsidTr="00D845A4">
        <w:trPr>
          <w:trHeight w:val="432"/>
        </w:trPr>
        <w:tc>
          <w:tcPr>
            <w:tcW w:w="2972" w:type="dxa"/>
            <w:vAlign w:val="bottom"/>
          </w:tcPr>
          <w:p w14:paraId="0A76DAC8" w14:textId="77777777" w:rsidR="00EF2895" w:rsidRPr="00EF2895" w:rsidRDefault="00EF2895" w:rsidP="00EF2895">
            <w:pPr>
              <w:jc w:val="both"/>
              <w:rPr>
                <w:b/>
                <w:noProof w:val="0"/>
                <w:sz w:val="24"/>
                <w:szCs w:val="24"/>
                <w:u w:val="single"/>
              </w:rPr>
            </w:pPr>
            <w:r w:rsidRPr="00EF2895">
              <w:rPr>
                <w:rFonts w:eastAsia="Calibri"/>
                <w:noProof w:val="0"/>
                <w:color w:val="000000"/>
                <w:sz w:val="24"/>
                <w:szCs w:val="24"/>
              </w:rPr>
              <w:t>UKUPNO</w:t>
            </w:r>
          </w:p>
        </w:tc>
        <w:tc>
          <w:tcPr>
            <w:tcW w:w="1985" w:type="dxa"/>
            <w:vAlign w:val="bottom"/>
          </w:tcPr>
          <w:p w14:paraId="0CB3D080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2.299.207,88</w:t>
            </w:r>
          </w:p>
        </w:tc>
        <w:tc>
          <w:tcPr>
            <w:tcW w:w="1984" w:type="dxa"/>
            <w:vAlign w:val="bottom"/>
          </w:tcPr>
          <w:p w14:paraId="6952678F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-2.219.359,80</w:t>
            </w:r>
          </w:p>
        </w:tc>
        <w:tc>
          <w:tcPr>
            <w:tcW w:w="2121" w:type="dxa"/>
            <w:vAlign w:val="bottom"/>
          </w:tcPr>
          <w:p w14:paraId="195BC779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79.848,08</w:t>
            </w:r>
          </w:p>
        </w:tc>
      </w:tr>
      <w:bookmarkEnd w:id="1"/>
    </w:tbl>
    <w:p w14:paraId="0CCB9D54" w14:textId="77777777" w:rsidR="00EF2895" w:rsidRPr="00EF2895" w:rsidRDefault="00EF2895" w:rsidP="00EF2895">
      <w:pPr>
        <w:jc w:val="both"/>
        <w:rPr>
          <w:rFonts w:ascii="Times New Roman" w:eastAsia="Times New Roman" w:hAnsi="Times New Roman" w:cs="Times New Roman"/>
          <w:b/>
          <w:noProof w:val="0"/>
          <w:sz w:val="24"/>
          <w:szCs w:val="24"/>
          <w:u w:val="single"/>
          <w:lang w:eastAsia="hr-HR"/>
        </w:rPr>
      </w:pPr>
    </w:p>
    <w:p w14:paraId="7A5F5E14" w14:textId="77777777" w:rsidR="00EF2895" w:rsidRPr="00EF2895" w:rsidRDefault="00EF2895" w:rsidP="00EF2895">
      <w:pPr>
        <w:jc w:val="both"/>
        <w:rPr>
          <w:rFonts w:ascii="Times New Roman" w:eastAsia="Times New Roman" w:hAnsi="Times New Roman" w:cs="Times New Roman"/>
          <w:b/>
          <w:noProof w:val="0"/>
          <w:sz w:val="24"/>
          <w:szCs w:val="24"/>
          <w:u w:val="single"/>
          <w:lang w:eastAsia="hr-HR"/>
        </w:rPr>
      </w:pPr>
      <w:r w:rsidRPr="00EF2895">
        <w:rPr>
          <w:rFonts w:ascii="Times New Roman" w:eastAsia="Times New Roman" w:hAnsi="Times New Roman" w:cs="Times New Roman"/>
          <w:b/>
          <w:noProof w:val="0"/>
          <w:sz w:val="24"/>
          <w:szCs w:val="24"/>
          <w:u w:val="single"/>
          <w:lang w:eastAsia="hr-HR"/>
        </w:rPr>
        <w:t>Bilješke uz obrazac Obveze</w:t>
      </w:r>
    </w:p>
    <w:p w14:paraId="37A918CE" w14:textId="77777777" w:rsidR="00EF2895" w:rsidRPr="00EF2895" w:rsidRDefault="00EF2895" w:rsidP="00EF2895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6D297445" w14:textId="77777777" w:rsidR="00EF2895" w:rsidRPr="00EF2895" w:rsidRDefault="00EF2895" w:rsidP="00EF2895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EF28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Eliminacija: šifra V001 neutrošena sredstva korisnika JU i Zavoda 34.085,56 EUR</w:t>
      </w:r>
    </w:p>
    <w:p w14:paraId="6A5E684F" w14:textId="77777777" w:rsidR="00EF2895" w:rsidRPr="00EF2895" w:rsidRDefault="00EF2895" w:rsidP="00EF2895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EF28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                    šifra V003 primljena sredstva korisnika JU 31,22 EUR</w:t>
      </w:r>
    </w:p>
    <w:p w14:paraId="42D4989C" w14:textId="77777777" w:rsidR="00EF2895" w:rsidRPr="00EF2895" w:rsidRDefault="00EF2895" w:rsidP="00EF2895">
      <w:pPr>
        <w:tabs>
          <w:tab w:val="left" w:pos="1320"/>
        </w:tabs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EF28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                    šifra V005 utrošena sredstva korisnika JU 31,22 EUR</w:t>
      </w:r>
    </w:p>
    <w:p w14:paraId="70EF6073" w14:textId="77777777" w:rsidR="00EF2895" w:rsidRPr="00EF2895" w:rsidRDefault="00EF2895" w:rsidP="00EF2895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EF28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                    šifra V010 neutrošena sredstva korisnika JU i Zavoda 34.085,56 EUR</w:t>
      </w:r>
    </w:p>
    <w:p w14:paraId="2A541C6E" w14:textId="77777777" w:rsidR="00EF2895" w:rsidRPr="00EF2895" w:rsidRDefault="00EF2895" w:rsidP="00EF2895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77D37D27" w14:textId="77777777" w:rsidR="00EF2895" w:rsidRPr="00EF2895" w:rsidRDefault="00EF2895" w:rsidP="00EF2895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EF28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Nakon izvršene eliminacije stanje obveza na dan 30.06.2024. godine je slijedeće:</w:t>
      </w:r>
    </w:p>
    <w:p w14:paraId="07752F2B" w14:textId="77777777" w:rsidR="00EF2895" w:rsidRPr="00EF2895" w:rsidRDefault="00EF2895" w:rsidP="00EF2895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359F2A9C" w14:textId="77777777" w:rsidR="00EF2895" w:rsidRPr="00EF2895" w:rsidRDefault="00EF2895" w:rsidP="00EF2895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2972"/>
        <w:gridCol w:w="1985"/>
        <w:gridCol w:w="1984"/>
        <w:gridCol w:w="2121"/>
      </w:tblGrid>
      <w:tr w:rsidR="00EF2895" w:rsidRPr="00EF2895" w14:paraId="4159FBE1" w14:textId="77777777" w:rsidTr="00D845A4">
        <w:trPr>
          <w:trHeight w:val="1797"/>
        </w:trPr>
        <w:tc>
          <w:tcPr>
            <w:tcW w:w="2972" w:type="dxa"/>
            <w:vAlign w:val="center"/>
          </w:tcPr>
          <w:p w14:paraId="36328009" w14:textId="77777777" w:rsidR="00EF2895" w:rsidRPr="00EF2895" w:rsidRDefault="00EF2895" w:rsidP="00EF2895">
            <w:pPr>
              <w:jc w:val="center"/>
              <w:rPr>
                <w:b/>
                <w:noProof w:val="0"/>
                <w:sz w:val="24"/>
                <w:szCs w:val="24"/>
                <w:u w:val="single"/>
              </w:rPr>
            </w:pPr>
            <w:r w:rsidRPr="00EF2895">
              <w:rPr>
                <w:noProof w:val="0"/>
                <w:color w:val="000000"/>
                <w:sz w:val="24"/>
                <w:szCs w:val="24"/>
              </w:rPr>
              <w:t>Korisnik</w:t>
            </w:r>
          </w:p>
        </w:tc>
        <w:tc>
          <w:tcPr>
            <w:tcW w:w="1985" w:type="dxa"/>
            <w:vAlign w:val="center"/>
          </w:tcPr>
          <w:p w14:paraId="4A66992F" w14:textId="77777777" w:rsidR="00EF2895" w:rsidRPr="00EF2895" w:rsidRDefault="00EF2895" w:rsidP="00EF2895">
            <w:pPr>
              <w:jc w:val="center"/>
              <w:rPr>
                <w:noProof w:val="0"/>
                <w:sz w:val="24"/>
                <w:szCs w:val="24"/>
              </w:rPr>
            </w:pPr>
            <w:r w:rsidRPr="00EF2895">
              <w:rPr>
                <w:noProof w:val="0"/>
                <w:sz w:val="24"/>
                <w:szCs w:val="24"/>
              </w:rPr>
              <w:t>šifra V006</w:t>
            </w:r>
          </w:p>
          <w:p w14:paraId="5D0F7797" w14:textId="77777777" w:rsidR="00EF2895" w:rsidRPr="00EF2895" w:rsidRDefault="00EF2895" w:rsidP="00EF2895">
            <w:pPr>
              <w:jc w:val="center"/>
              <w:rPr>
                <w:noProof w:val="0"/>
                <w:sz w:val="24"/>
                <w:szCs w:val="24"/>
              </w:rPr>
            </w:pPr>
            <w:r w:rsidRPr="00EF2895">
              <w:rPr>
                <w:noProof w:val="0"/>
                <w:sz w:val="24"/>
                <w:szCs w:val="24"/>
              </w:rPr>
              <w:t>stanje obveza na kraju izvještajnog razdoblja</w:t>
            </w:r>
          </w:p>
          <w:p w14:paraId="356BBBB1" w14:textId="77777777" w:rsidR="00EF2895" w:rsidRPr="00EF2895" w:rsidRDefault="00EF2895" w:rsidP="00EF2895">
            <w:pPr>
              <w:jc w:val="center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(EUR)</w:t>
            </w:r>
          </w:p>
        </w:tc>
        <w:tc>
          <w:tcPr>
            <w:tcW w:w="1984" w:type="dxa"/>
            <w:vAlign w:val="center"/>
          </w:tcPr>
          <w:p w14:paraId="010C34FE" w14:textId="77777777" w:rsidR="00EF2895" w:rsidRPr="00EF2895" w:rsidRDefault="00EF2895" w:rsidP="00EF2895">
            <w:pPr>
              <w:jc w:val="center"/>
              <w:rPr>
                <w:noProof w:val="0"/>
                <w:sz w:val="24"/>
                <w:szCs w:val="24"/>
              </w:rPr>
            </w:pPr>
            <w:r w:rsidRPr="00EF2895">
              <w:rPr>
                <w:noProof w:val="0"/>
                <w:sz w:val="24"/>
                <w:szCs w:val="24"/>
              </w:rPr>
              <w:t>šifra V007</w:t>
            </w:r>
          </w:p>
          <w:p w14:paraId="4C59B6E2" w14:textId="77777777" w:rsidR="00EF2895" w:rsidRPr="00EF2895" w:rsidRDefault="00EF2895" w:rsidP="00EF2895">
            <w:pPr>
              <w:jc w:val="center"/>
              <w:rPr>
                <w:noProof w:val="0"/>
                <w:sz w:val="24"/>
                <w:szCs w:val="24"/>
              </w:rPr>
            </w:pPr>
            <w:r w:rsidRPr="00EF2895">
              <w:rPr>
                <w:noProof w:val="0"/>
                <w:sz w:val="24"/>
                <w:szCs w:val="24"/>
              </w:rPr>
              <w:t>stanje dospjelih obveza na kraju izvještajnih razdoblja</w:t>
            </w:r>
          </w:p>
          <w:p w14:paraId="28C9E84D" w14:textId="77777777" w:rsidR="00EF2895" w:rsidRPr="00EF2895" w:rsidRDefault="00EF2895" w:rsidP="00EF2895">
            <w:pPr>
              <w:jc w:val="center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(EUR)</w:t>
            </w:r>
          </w:p>
        </w:tc>
        <w:tc>
          <w:tcPr>
            <w:tcW w:w="2121" w:type="dxa"/>
            <w:vAlign w:val="center"/>
          </w:tcPr>
          <w:p w14:paraId="64E19C00" w14:textId="77777777" w:rsidR="00EF2895" w:rsidRPr="00EF2895" w:rsidRDefault="00EF2895" w:rsidP="00EF2895">
            <w:pPr>
              <w:jc w:val="center"/>
              <w:rPr>
                <w:noProof w:val="0"/>
                <w:sz w:val="24"/>
                <w:szCs w:val="24"/>
              </w:rPr>
            </w:pPr>
            <w:r w:rsidRPr="00EF2895">
              <w:rPr>
                <w:noProof w:val="0"/>
                <w:sz w:val="24"/>
                <w:szCs w:val="24"/>
              </w:rPr>
              <w:t>šifra V009</w:t>
            </w:r>
          </w:p>
          <w:p w14:paraId="3E2A9786" w14:textId="77777777" w:rsidR="00EF2895" w:rsidRPr="00EF2895" w:rsidRDefault="00EF2895" w:rsidP="00EF2895">
            <w:pPr>
              <w:jc w:val="center"/>
              <w:rPr>
                <w:noProof w:val="0"/>
                <w:sz w:val="24"/>
                <w:szCs w:val="24"/>
              </w:rPr>
            </w:pPr>
            <w:r w:rsidRPr="00EF2895">
              <w:rPr>
                <w:noProof w:val="0"/>
                <w:sz w:val="24"/>
                <w:szCs w:val="24"/>
              </w:rPr>
              <w:t>stanje nedospjelih obveza na kraju izvještajnog razdoblja</w:t>
            </w:r>
          </w:p>
          <w:p w14:paraId="0303BC43" w14:textId="77777777" w:rsidR="00EF2895" w:rsidRPr="00EF2895" w:rsidRDefault="00EF2895" w:rsidP="00EF2895">
            <w:pPr>
              <w:jc w:val="center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(EUR)</w:t>
            </w:r>
          </w:p>
        </w:tc>
      </w:tr>
      <w:tr w:rsidR="00EF2895" w:rsidRPr="00EF2895" w14:paraId="14321926" w14:textId="77777777" w:rsidTr="00D845A4">
        <w:tc>
          <w:tcPr>
            <w:tcW w:w="2972" w:type="dxa"/>
            <w:vAlign w:val="center"/>
          </w:tcPr>
          <w:p w14:paraId="3420C0A8" w14:textId="77777777" w:rsidR="00EF2895" w:rsidRPr="00EF2895" w:rsidRDefault="00EF2895" w:rsidP="00EF2895">
            <w:pPr>
              <w:jc w:val="both"/>
              <w:rPr>
                <w:b/>
                <w:noProof w:val="0"/>
                <w:sz w:val="24"/>
                <w:szCs w:val="24"/>
                <w:u w:val="single"/>
              </w:rPr>
            </w:pPr>
            <w:r w:rsidRPr="00EF2895">
              <w:rPr>
                <w:rFonts w:eastAsia="Calibri"/>
                <w:noProof w:val="0"/>
                <w:color w:val="000000"/>
                <w:sz w:val="24"/>
                <w:szCs w:val="24"/>
              </w:rPr>
              <w:t>Osnovne škole</w:t>
            </w:r>
          </w:p>
        </w:tc>
        <w:tc>
          <w:tcPr>
            <w:tcW w:w="1985" w:type="dxa"/>
            <w:vAlign w:val="center"/>
          </w:tcPr>
          <w:p w14:paraId="678BB64F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3.500.272</w:t>
            </w:r>
          </w:p>
        </w:tc>
        <w:tc>
          <w:tcPr>
            <w:tcW w:w="1984" w:type="dxa"/>
            <w:vAlign w:val="center"/>
          </w:tcPr>
          <w:p w14:paraId="75DDE743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65.144,06</w:t>
            </w:r>
          </w:p>
        </w:tc>
        <w:tc>
          <w:tcPr>
            <w:tcW w:w="2121" w:type="dxa"/>
            <w:vAlign w:val="center"/>
          </w:tcPr>
          <w:p w14:paraId="5CFDEB20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3.435.127,94</w:t>
            </w:r>
          </w:p>
        </w:tc>
      </w:tr>
      <w:tr w:rsidR="00EF2895" w:rsidRPr="00EF2895" w14:paraId="19139D5A" w14:textId="77777777" w:rsidTr="00D845A4">
        <w:tc>
          <w:tcPr>
            <w:tcW w:w="2972" w:type="dxa"/>
            <w:vAlign w:val="center"/>
          </w:tcPr>
          <w:p w14:paraId="60FB7735" w14:textId="77777777" w:rsidR="00EF2895" w:rsidRPr="00EF2895" w:rsidRDefault="00EF2895" w:rsidP="00EF2895">
            <w:pPr>
              <w:jc w:val="both"/>
              <w:rPr>
                <w:b/>
                <w:noProof w:val="0"/>
                <w:sz w:val="24"/>
                <w:szCs w:val="24"/>
                <w:u w:val="single"/>
              </w:rPr>
            </w:pPr>
            <w:r w:rsidRPr="00EF2895">
              <w:rPr>
                <w:rFonts w:eastAsia="Calibri"/>
                <w:noProof w:val="0"/>
                <w:color w:val="000000"/>
                <w:sz w:val="24"/>
                <w:szCs w:val="24"/>
              </w:rPr>
              <w:t>Srednje škole</w:t>
            </w:r>
          </w:p>
        </w:tc>
        <w:tc>
          <w:tcPr>
            <w:tcW w:w="1985" w:type="dxa"/>
            <w:vAlign w:val="center"/>
          </w:tcPr>
          <w:p w14:paraId="2A191322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6.309.586,40</w:t>
            </w:r>
          </w:p>
        </w:tc>
        <w:tc>
          <w:tcPr>
            <w:tcW w:w="1984" w:type="dxa"/>
            <w:vAlign w:val="center"/>
          </w:tcPr>
          <w:p w14:paraId="1EFFC1E4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954,75</w:t>
            </w:r>
          </w:p>
        </w:tc>
        <w:tc>
          <w:tcPr>
            <w:tcW w:w="2121" w:type="dxa"/>
            <w:vAlign w:val="center"/>
          </w:tcPr>
          <w:p w14:paraId="54BE06B1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6.308.631,65</w:t>
            </w:r>
          </w:p>
        </w:tc>
      </w:tr>
      <w:tr w:rsidR="00EF2895" w:rsidRPr="00EF2895" w14:paraId="1A680A58" w14:textId="77777777" w:rsidTr="00D845A4">
        <w:tc>
          <w:tcPr>
            <w:tcW w:w="2972" w:type="dxa"/>
            <w:vAlign w:val="center"/>
          </w:tcPr>
          <w:p w14:paraId="20885280" w14:textId="77777777" w:rsidR="00EF2895" w:rsidRPr="00EF2895" w:rsidRDefault="00EF2895" w:rsidP="00EF2895">
            <w:pPr>
              <w:jc w:val="both"/>
              <w:rPr>
                <w:b/>
                <w:noProof w:val="0"/>
                <w:sz w:val="24"/>
                <w:szCs w:val="24"/>
                <w:u w:val="single"/>
              </w:rPr>
            </w:pPr>
            <w:r w:rsidRPr="00EF2895">
              <w:rPr>
                <w:rFonts w:eastAsia="Calibri"/>
                <w:noProof w:val="0"/>
                <w:color w:val="000000"/>
                <w:sz w:val="24"/>
                <w:szCs w:val="24"/>
              </w:rPr>
              <w:t>Zdravstvene ustanove</w:t>
            </w:r>
          </w:p>
        </w:tc>
        <w:tc>
          <w:tcPr>
            <w:tcW w:w="1985" w:type="dxa"/>
            <w:vAlign w:val="center"/>
          </w:tcPr>
          <w:p w14:paraId="28D1B2F2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17.635.722,40</w:t>
            </w:r>
          </w:p>
        </w:tc>
        <w:tc>
          <w:tcPr>
            <w:tcW w:w="1984" w:type="dxa"/>
            <w:vAlign w:val="center"/>
          </w:tcPr>
          <w:p w14:paraId="0FCABB78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2.070.567,74</w:t>
            </w:r>
          </w:p>
        </w:tc>
        <w:tc>
          <w:tcPr>
            <w:tcW w:w="2121" w:type="dxa"/>
            <w:vAlign w:val="center"/>
          </w:tcPr>
          <w:p w14:paraId="6F869DFE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15.565.154,66</w:t>
            </w:r>
          </w:p>
        </w:tc>
      </w:tr>
      <w:tr w:rsidR="00EF2895" w:rsidRPr="00EF2895" w14:paraId="734D2F37" w14:textId="77777777" w:rsidTr="00D845A4">
        <w:tc>
          <w:tcPr>
            <w:tcW w:w="2972" w:type="dxa"/>
            <w:vAlign w:val="center"/>
          </w:tcPr>
          <w:p w14:paraId="24618931" w14:textId="77777777" w:rsidR="00EF2895" w:rsidRPr="00EF2895" w:rsidRDefault="00EF2895" w:rsidP="00EF2895">
            <w:pPr>
              <w:jc w:val="both"/>
              <w:rPr>
                <w:b/>
                <w:noProof w:val="0"/>
                <w:sz w:val="24"/>
                <w:szCs w:val="24"/>
                <w:u w:val="single"/>
              </w:rPr>
            </w:pPr>
            <w:r w:rsidRPr="00EF2895">
              <w:rPr>
                <w:rFonts w:eastAsia="Calibri"/>
                <w:noProof w:val="0"/>
                <w:color w:val="000000"/>
                <w:sz w:val="24"/>
                <w:szCs w:val="24"/>
              </w:rPr>
              <w:t>Krapinsko-zagorska županija</w:t>
            </w:r>
          </w:p>
        </w:tc>
        <w:tc>
          <w:tcPr>
            <w:tcW w:w="1985" w:type="dxa"/>
            <w:vAlign w:val="center"/>
          </w:tcPr>
          <w:p w14:paraId="4CD8F19F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7.251.509,82</w:t>
            </w:r>
          </w:p>
        </w:tc>
        <w:tc>
          <w:tcPr>
            <w:tcW w:w="1984" w:type="dxa"/>
            <w:vAlign w:val="center"/>
          </w:tcPr>
          <w:p w14:paraId="39BA2BEA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234.215,60</w:t>
            </w:r>
          </w:p>
        </w:tc>
        <w:tc>
          <w:tcPr>
            <w:tcW w:w="2121" w:type="dxa"/>
            <w:vAlign w:val="center"/>
          </w:tcPr>
          <w:p w14:paraId="363390F7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7.017.2941,22</w:t>
            </w:r>
          </w:p>
        </w:tc>
      </w:tr>
      <w:tr w:rsidR="00EF2895" w:rsidRPr="00EF2895" w14:paraId="7B9286FF" w14:textId="77777777" w:rsidTr="00D845A4">
        <w:tc>
          <w:tcPr>
            <w:tcW w:w="2972" w:type="dxa"/>
            <w:vAlign w:val="center"/>
          </w:tcPr>
          <w:p w14:paraId="731948DD" w14:textId="77777777" w:rsidR="00EF2895" w:rsidRPr="00EF2895" w:rsidRDefault="00EF2895" w:rsidP="00EF2895">
            <w:pPr>
              <w:jc w:val="both"/>
              <w:rPr>
                <w:b/>
                <w:noProof w:val="0"/>
                <w:sz w:val="24"/>
                <w:szCs w:val="24"/>
                <w:u w:val="single"/>
              </w:rPr>
            </w:pPr>
            <w:r w:rsidRPr="00EF2895">
              <w:rPr>
                <w:rFonts w:eastAsia="Calibri"/>
                <w:noProof w:val="0"/>
                <w:color w:val="000000"/>
                <w:sz w:val="24"/>
                <w:szCs w:val="24"/>
              </w:rPr>
              <w:t>Zavod za prostorno uređenje</w:t>
            </w:r>
          </w:p>
        </w:tc>
        <w:tc>
          <w:tcPr>
            <w:tcW w:w="1985" w:type="dxa"/>
            <w:vAlign w:val="center"/>
          </w:tcPr>
          <w:p w14:paraId="2C0D381A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0,00</w:t>
            </w:r>
          </w:p>
        </w:tc>
        <w:tc>
          <w:tcPr>
            <w:tcW w:w="1984" w:type="dxa"/>
            <w:vAlign w:val="center"/>
          </w:tcPr>
          <w:p w14:paraId="122E13FE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0,00</w:t>
            </w:r>
          </w:p>
        </w:tc>
        <w:tc>
          <w:tcPr>
            <w:tcW w:w="2121" w:type="dxa"/>
            <w:vAlign w:val="center"/>
          </w:tcPr>
          <w:p w14:paraId="0CC1A2E3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0,00</w:t>
            </w:r>
          </w:p>
        </w:tc>
      </w:tr>
      <w:tr w:rsidR="00EF2895" w:rsidRPr="00EF2895" w14:paraId="7FB5E4D9" w14:textId="77777777" w:rsidTr="00D845A4">
        <w:tc>
          <w:tcPr>
            <w:tcW w:w="2972" w:type="dxa"/>
            <w:vAlign w:val="center"/>
          </w:tcPr>
          <w:p w14:paraId="3F51EF1B" w14:textId="77777777" w:rsidR="00EF2895" w:rsidRPr="00EF2895" w:rsidRDefault="00EF2895" w:rsidP="00EF2895">
            <w:pPr>
              <w:jc w:val="both"/>
              <w:rPr>
                <w:b/>
                <w:noProof w:val="0"/>
                <w:sz w:val="24"/>
                <w:szCs w:val="24"/>
                <w:u w:val="single"/>
              </w:rPr>
            </w:pPr>
            <w:r w:rsidRPr="00EF2895">
              <w:rPr>
                <w:rFonts w:eastAsia="Calibri"/>
                <w:noProof w:val="0"/>
                <w:color w:val="000000"/>
                <w:sz w:val="24"/>
                <w:szCs w:val="24"/>
              </w:rPr>
              <w:t>Javna ustanova Zagorje zeleno</w:t>
            </w:r>
          </w:p>
        </w:tc>
        <w:tc>
          <w:tcPr>
            <w:tcW w:w="1985" w:type="dxa"/>
            <w:vAlign w:val="center"/>
          </w:tcPr>
          <w:p w14:paraId="454EAC0F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6,84</w:t>
            </w:r>
          </w:p>
        </w:tc>
        <w:tc>
          <w:tcPr>
            <w:tcW w:w="1984" w:type="dxa"/>
            <w:vAlign w:val="center"/>
          </w:tcPr>
          <w:p w14:paraId="762B9FB3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0,00</w:t>
            </w:r>
          </w:p>
        </w:tc>
        <w:tc>
          <w:tcPr>
            <w:tcW w:w="2121" w:type="dxa"/>
            <w:vAlign w:val="center"/>
          </w:tcPr>
          <w:p w14:paraId="029A9795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6,84</w:t>
            </w:r>
          </w:p>
        </w:tc>
      </w:tr>
      <w:tr w:rsidR="00EF2895" w:rsidRPr="00EF2895" w14:paraId="015A109D" w14:textId="77777777" w:rsidTr="00D845A4">
        <w:tc>
          <w:tcPr>
            <w:tcW w:w="2972" w:type="dxa"/>
            <w:vAlign w:val="center"/>
          </w:tcPr>
          <w:p w14:paraId="0019621B" w14:textId="77777777" w:rsidR="00EF2895" w:rsidRPr="00EF2895" w:rsidRDefault="00EF2895" w:rsidP="00EF2895">
            <w:pPr>
              <w:jc w:val="both"/>
              <w:rPr>
                <w:b/>
                <w:noProof w:val="0"/>
                <w:sz w:val="24"/>
                <w:szCs w:val="24"/>
                <w:u w:val="single"/>
              </w:rPr>
            </w:pPr>
            <w:r w:rsidRPr="00EF2895">
              <w:rPr>
                <w:rFonts w:eastAsia="Calibri"/>
                <w:noProof w:val="0"/>
                <w:color w:val="000000"/>
                <w:sz w:val="24"/>
                <w:szCs w:val="24"/>
              </w:rPr>
              <w:t>Zagorska razvojna agencija</w:t>
            </w:r>
          </w:p>
        </w:tc>
        <w:tc>
          <w:tcPr>
            <w:tcW w:w="1985" w:type="dxa"/>
            <w:vAlign w:val="center"/>
          </w:tcPr>
          <w:p w14:paraId="68D5675E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71.021,54</w:t>
            </w:r>
          </w:p>
        </w:tc>
        <w:tc>
          <w:tcPr>
            <w:tcW w:w="1984" w:type="dxa"/>
            <w:vAlign w:val="center"/>
          </w:tcPr>
          <w:p w14:paraId="5DEB7EE1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0,00</w:t>
            </w:r>
          </w:p>
        </w:tc>
        <w:tc>
          <w:tcPr>
            <w:tcW w:w="2121" w:type="dxa"/>
            <w:vAlign w:val="center"/>
          </w:tcPr>
          <w:p w14:paraId="2E6F5D46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71.021,54</w:t>
            </w:r>
          </w:p>
        </w:tc>
      </w:tr>
      <w:tr w:rsidR="00EF2895" w:rsidRPr="00EF2895" w14:paraId="7C439499" w14:textId="77777777" w:rsidTr="00D845A4">
        <w:tc>
          <w:tcPr>
            <w:tcW w:w="2972" w:type="dxa"/>
            <w:vAlign w:val="center"/>
          </w:tcPr>
          <w:p w14:paraId="773C03C4" w14:textId="77777777" w:rsidR="00EF2895" w:rsidRPr="00EF2895" w:rsidRDefault="00EF2895" w:rsidP="00EF2895">
            <w:pPr>
              <w:jc w:val="both"/>
              <w:rPr>
                <w:b/>
                <w:noProof w:val="0"/>
                <w:sz w:val="24"/>
                <w:szCs w:val="24"/>
                <w:u w:val="single"/>
              </w:rPr>
            </w:pPr>
            <w:r w:rsidRPr="00EF2895">
              <w:rPr>
                <w:rFonts w:eastAsia="Calibri"/>
                <w:noProof w:val="0"/>
                <w:color w:val="000000"/>
                <w:sz w:val="24"/>
                <w:szCs w:val="24"/>
              </w:rPr>
              <w:t>Dom Novi početak</w:t>
            </w:r>
          </w:p>
        </w:tc>
        <w:tc>
          <w:tcPr>
            <w:tcW w:w="1985" w:type="dxa"/>
            <w:vAlign w:val="center"/>
          </w:tcPr>
          <w:p w14:paraId="546960E7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0,00</w:t>
            </w:r>
          </w:p>
        </w:tc>
        <w:tc>
          <w:tcPr>
            <w:tcW w:w="1984" w:type="dxa"/>
            <w:vAlign w:val="center"/>
          </w:tcPr>
          <w:p w14:paraId="69B7561B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0,00</w:t>
            </w:r>
          </w:p>
        </w:tc>
        <w:tc>
          <w:tcPr>
            <w:tcW w:w="2121" w:type="dxa"/>
            <w:vAlign w:val="center"/>
          </w:tcPr>
          <w:p w14:paraId="396F41FF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0,00</w:t>
            </w:r>
          </w:p>
        </w:tc>
      </w:tr>
      <w:tr w:rsidR="00EF2895" w:rsidRPr="00EF2895" w14:paraId="204F026B" w14:textId="77777777" w:rsidTr="00D845A4">
        <w:trPr>
          <w:trHeight w:val="432"/>
        </w:trPr>
        <w:tc>
          <w:tcPr>
            <w:tcW w:w="2972" w:type="dxa"/>
            <w:vAlign w:val="bottom"/>
          </w:tcPr>
          <w:p w14:paraId="47A89DEE" w14:textId="77777777" w:rsidR="00EF2895" w:rsidRPr="00EF2895" w:rsidRDefault="00EF2895" w:rsidP="00EF2895">
            <w:pPr>
              <w:jc w:val="both"/>
              <w:rPr>
                <w:b/>
                <w:noProof w:val="0"/>
                <w:sz w:val="24"/>
                <w:szCs w:val="24"/>
                <w:u w:val="single"/>
              </w:rPr>
            </w:pPr>
            <w:r w:rsidRPr="00EF2895">
              <w:rPr>
                <w:rFonts w:eastAsia="Calibri"/>
                <w:noProof w:val="0"/>
                <w:color w:val="000000"/>
                <w:sz w:val="24"/>
                <w:szCs w:val="24"/>
              </w:rPr>
              <w:t>UKUPNO</w:t>
            </w:r>
          </w:p>
        </w:tc>
        <w:tc>
          <w:tcPr>
            <w:tcW w:w="1985" w:type="dxa"/>
            <w:vAlign w:val="bottom"/>
          </w:tcPr>
          <w:p w14:paraId="2ABF801D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34.768.119</w:t>
            </w:r>
          </w:p>
        </w:tc>
        <w:tc>
          <w:tcPr>
            <w:tcW w:w="1984" w:type="dxa"/>
            <w:vAlign w:val="bottom"/>
          </w:tcPr>
          <w:p w14:paraId="0FA2AB69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2.370.882,15</w:t>
            </w:r>
          </w:p>
        </w:tc>
        <w:tc>
          <w:tcPr>
            <w:tcW w:w="2121" w:type="dxa"/>
            <w:vAlign w:val="bottom"/>
          </w:tcPr>
          <w:p w14:paraId="6E968A92" w14:textId="77777777" w:rsidR="00EF2895" w:rsidRPr="00EF2895" w:rsidRDefault="00EF2895" w:rsidP="00EF2895">
            <w:pPr>
              <w:jc w:val="right"/>
              <w:rPr>
                <w:bCs/>
                <w:noProof w:val="0"/>
                <w:sz w:val="24"/>
                <w:szCs w:val="24"/>
              </w:rPr>
            </w:pPr>
            <w:r w:rsidRPr="00EF2895">
              <w:rPr>
                <w:bCs/>
                <w:noProof w:val="0"/>
                <w:sz w:val="24"/>
                <w:szCs w:val="24"/>
              </w:rPr>
              <w:t>44.965.361,14</w:t>
            </w:r>
          </w:p>
        </w:tc>
      </w:tr>
    </w:tbl>
    <w:p w14:paraId="41C4E17E" w14:textId="77777777" w:rsidR="00EF2895" w:rsidRPr="00EF2895" w:rsidRDefault="00EF2895" w:rsidP="00EF2895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EF28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lastRenderedPageBreak/>
        <w:t>Šifra V0001 stanje obveza 1. siječnja različito je od stanja obveza iz Izvještaja o obvezama na 31. prosinca prethodne godine jer obveze OB Zabok sukladno Okružnici Ministarstva financija nisu uključene u početno stanje.</w:t>
      </w:r>
    </w:p>
    <w:p w14:paraId="390B758B" w14:textId="77777777" w:rsidR="00EF2895" w:rsidRPr="00EF2895" w:rsidRDefault="00EF2895" w:rsidP="00EF2895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07A91603" w14:textId="77777777" w:rsidR="00EF2895" w:rsidRPr="00EF2895" w:rsidRDefault="00EF2895" w:rsidP="00EF2895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EF28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Kod KZŽ stanje dospjelih obveza odnosi se na obveze prema dobavljačima za prijevoz učenika srednjih škola koji se financira iz državnog proračun, a za koje još nije primljena uplata te su prekoračeni rokovi dospijeća plaćanja (232.559,20 €) i na račune koji su prekasno dostavljeni na plaćanje pa je prošao rok (1.656,40 €).</w:t>
      </w:r>
    </w:p>
    <w:p w14:paraId="7CBE339F" w14:textId="77777777" w:rsidR="00EF2895" w:rsidRPr="00EF2895" w:rsidRDefault="00EF2895" w:rsidP="00EF2895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27CF665B" w14:textId="77777777" w:rsidR="00EF2895" w:rsidRPr="00EF2895" w:rsidRDefault="00EF2895" w:rsidP="00EF2895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EF28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Najveći dio dospjelih obveza odnosi se na zdravstvene ustanove, od toga na SB Krapinske otpada 2.027.583,94 EUR,</w:t>
      </w:r>
      <w:r w:rsidRPr="00EF2895">
        <w:rPr>
          <w:rFonts w:ascii="Times New Roman" w:eastAsia="Lucida Sans Unicode" w:hAnsi="Times New Roman" w:cs="Times New Roman"/>
          <w:noProof w:val="0"/>
          <w:sz w:val="24"/>
          <w:szCs w:val="24"/>
          <w:lang w:val="pl-PL"/>
        </w:rPr>
        <w:t xml:space="preserve"> od čega se na obveze za materijalne rashode odnosi 1.737.349,62 EUR, na obveze za financijske rashode se odnosi 25.652,37 EUR, na ostale tekuće obveze se odnosi 169.053,43 EUR, a na obveze za nabavu nefinancijske imovine odnosi se iznos od 95.528,52 EUR. Kod </w:t>
      </w:r>
      <w:r w:rsidRPr="00EF28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SB Stubičke Toplice 32.306,11 EUR odnosi se na obveze za materijalne rashode (lijekovi, potrošni medicinski materijal, namirnice, računalne usluge i usluge tek. i investicijskog održavanja), 2.248,81 odnosi se na međusobne obveze unutar općeg proračuna i 3.311,75 EUR odnosi se na obveze za nabavu nefinancijske imovine (madraci, računalna oprema). Dom zdravlja KZŽ ima 5.117,13 EUR dospjelih obveza </w:t>
      </w:r>
      <w:r w:rsidRPr="00EF2895">
        <w:rPr>
          <w:rFonts w:ascii="Times New Roman" w:eastAsia="Times New Roman" w:hAnsi="Times New Roman" w:cs="Times New Roman"/>
          <w:noProof w:val="0"/>
          <w:sz w:val="24"/>
          <w:szCs w:val="24"/>
          <w:lang w:eastAsia="ar-SA"/>
        </w:rPr>
        <w:t>zbog kašnjenja računa, odnosno isteka dospijeća prije trenutka knjiženja.</w:t>
      </w:r>
    </w:p>
    <w:p w14:paraId="5A9673D2" w14:textId="77777777" w:rsidR="00EF2895" w:rsidRPr="00EF2895" w:rsidRDefault="00EF2895" w:rsidP="00EF2895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58E6130F" w14:textId="77777777" w:rsidR="00EF2895" w:rsidRPr="00EF2895" w:rsidRDefault="00EF2895" w:rsidP="00EF2895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EF28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Kod osnovnih škola najveći dio dospjelih obveza čine obveze za bolovanje na teret HZZO i nepodmirene obveze za školsku kuhinju, dok kod SŠ Zabok dospjele obveze iznose 954,75 EUR, a odnose se na obveze za materijalne rashode (</w:t>
      </w:r>
      <w:r w:rsidRPr="00EF2895">
        <w:rPr>
          <w:rFonts w:ascii="Times New Roman" w:eastAsia="Times New Roman" w:hAnsi="Times New Roman" w:cs="Calibri"/>
          <w:noProof w:val="0"/>
          <w:sz w:val="24"/>
          <w:szCs w:val="24"/>
          <w:lang w:eastAsia="hr-HR"/>
        </w:rPr>
        <w:t>zaprimljena dva računa u 07/24 sa dospijećem zaključno s 30.06.2024., a bit će podmirene u srpnju 2024. godine).</w:t>
      </w:r>
    </w:p>
    <w:p w14:paraId="0D760324" w14:textId="77777777" w:rsidR="00EF2895" w:rsidRPr="00EF2895" w:rsidRDefault="00EF2895" w:rsidP="00EF2895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036323A5" w14:textId="77777777" w:rsidR="00EF2895" w:rsidRPr="00EF2895" w:rsidRDefault="00EF2895" w:rsidP="00EF2895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0D5B20D3" w14:textId="77777777" w:rsidR="00EF2895" w:rsidRPr="00EF2895" w:rsidRDefault="00EF2895" w:rsidP="00EF2895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7C06F4BF" w14:textId="77777777" w:rsidR="00EF2895" w:rsidRPr="00EF2895" w:rsidRDefault="00EF2895" w:rsidP="00EF2895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31E84923" w14:textId="77777777" w:rsidR="00EF2895" w:rsidRPr="00EF2895" w:rsidRDefault="00EF2895" w:rsidP="00EF2895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374A8008" w14:textId="77777777" w:rsidR="00EF2895" w:rsidRPr="00EF2895" w:rsidRDefault="00EF2895" w:rsidP="00EF2895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EF28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Izradila: Marija Čavužić</w:t>
      </w:r>
    </w:p>
    <w:p w14:paraId="401E9536" w14:textId="77777777" w:rsidR="00EF2895" w:rsidRPr="00EF2895" w:rsidRDefault="00EF2895" w:rsidP="00EF2895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EF28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tel. 049/329-056</w:t>
      </w:r>
    </w:p>
    <w:p w14:paraId="704F1E71" w14:textId="77777777" w:rsidR="00EF2895" w:rsidRPr="00EF2895" w:rsidRDefault="00EF2895" w:rsidP="00EF2895">
      <w:pPr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</w:p>
    <w:p w14:paraId="264FCF7C" w14:textId="77777777" w:rsidR="00EF2895" w:rsidRPr="00EF2895" w:rsidRDefault="00EF2895" w:rsidP="00EF2895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EF2895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</w:r>
      <w:r w:rsidRPr="00EF2895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</w:r>
      <w:r w:rsidRPr="00EF2895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</w:r>
      <w:r w:rsidRPr="00EF2895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</w:r>
      <w:r w:rsidRPr="00EF2895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</w:r>
      <w:r w:rsidRPr="00EF2895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</w:r>
      <w:r w:rsidRPr="00EF2895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</w:r>
      <w:r w:rsidRPr="00EF2895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</w:r>
      <w:r w:rsidRPr="00EF2895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</w:r>
      <w:r w:rsidRPr="00EF28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PROČELNICA</w:t>
      </w:r>
    </w:p>
    <w:p w14:paraId="5ED79A64" w14:textId="77777777" w:rsidR="00EF2895" w:rsidRPr="00EF2895" w:rsidRDefault="00EF2895" w:rsidP="00EF2895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EF28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EF28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EF28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EF28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EF28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EF28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EF28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EF28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EF28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  <w:t xml:space="preserve">   Ivana Petek</w:t>
      </w:r>
    </w:p>
    <w:p w14:paraId="6288A7D1" w14:textId="77777777" w:rsidR="00B92D0F" w:rsidRPr="00B06427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1BD4E6FF" w14:textId="77777777" w:rsidR="00D707B3" w:rsidRPr="00B06427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51AE9230" w14:textId="77777777" w:rsidR="00D707B3" w:rsidRPr="00B06427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12B1534" w14:textId="77777777" w:rsidR="00D707B3" w:rsidRPr="00B06427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CD93698" w14:textId="6139AC8D" w:rsidR="00D707B3" w:rsidRPr="00B06427" w:rsidRDefault="00693AB1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B0642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141042BB" w14:textId="4397981A" w:rsidR="00D707B3" w:rsidRPr="00B06427" w:rsidRDefault="00D707B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9B2EC7F" w14:textId="77777777" w:rsidR="008C5FE5" w:rsidRPr="00B06427" w:rsidRDefault="008C5FE5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EDCCDC9" w14:textId="77777777" w:rsidR="00D707B3" w:rsidRPr="00B06427" w:rsidRDefault="00D707B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1200C07" w14:textId="77777777" w:rsidR="00D707B3" w:rsidRPr="00B06427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657A284E" w14:textId="77777777" w:rsidR="00D707B3" w:rsidRPr="00B06427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1A692848" w14:textId="4124CC35" w:rsidR="00D707B3" w:rsidRPr="00B06427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3BBAD26A" w14:textId="44EDBF92" w:rsidR="00D707B3" w:rsidRPr="00B06427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53408CE5" w14:textId="12261E34" w:rsidR="008A562A" w:rsidRPr="00B06427" w:rsidRDefault="00D707B3">
      <w:pPr>
        <w:rPr>
          <w:rFonts w:ascii="Times New Roman" w:hAnsi="Times New Roman" w:cs="Times New Roman"/>
          <w:b/>
          <w:sz w:val="24"/>
          <w:szCs w:val="24"/>
        </w:rPr>
      </w:pPr>
      <w:r w:rsidRPr="00B06427">
        <w:rPr>
          <w:rFonts w:ascii="Times New Roman" w:hAnsi="Times New Roman" w:cs="Times New Roman"/>
          <w:b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72576" behindDoc="1" locked="1" layoutInCell="1" allowOverlap="1" wp14:anchorId="6E6A168A" wp14:editId="5FCB23B9">
                <wp:simplePos x="0" y="0"/>
                <wp:positionH relativeFrom="page">
                  <wp:posOffset>2233295</wp:posOffset>
                </wp:positionH>
                <wp:positionV relativeFrom="page">
                  <wp:posOffset>9580880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EF94CE" w14:textId="710CA2EF" w:rsidR="008A562A" w:rsidRPr="004853FD" w:rsidRDefault="004853FD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6A168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5.85pt;margin-top:754.4pt;width:278.35pt;height:79.9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Al&#10;9yZ34AAAAA0BAAAPAAAAAAAAAAAAAAAAAGgEAABkcnMvZG93bnJldi54bWxQSwUGAAAAAAQABADz&#10;AAAAdQUAAAAA&#10;" stroked="f">
                <v:textbox>
                  <w:txbxContent>
                    <w:p w14:paraId="76EF94CE" w14:textId="710CA2EF" w:rsidR="008A562A" w:rsidRPr="004853FD" w:rsidRDefault="004853FD">
                      <w:pPr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 w:rsidRPr="00B06427" w:rsidSect="00DE337C">
      <w:headerReference w:type="default" r:id="rId8"/>
      <w:footerReference w:type="default" r:id="rId9"/>
      <w:pgSz w:w="11906" w:h="16838"/>
      <w:pgMar w:top="113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D15DB8" w14:textId="77777777" w:rsidR="00ED7DE0" w:rsidRDefault="00ED7DE0" w:rsidP="00B06427">
      <w:r>
        <w:separator/>
      </w:r>
    </w:p>
  </w:endnote>
  <w:endnote w:type="continuationSeparator" w:id="0">
    <w:p w14:paraId="4FC31474" w14:textId="77777777" w:rsidR="00ED7DE0" w:rsidRDefault="00ED7DE0" w:rsidP="00B06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7B4B6" w14:textId="3279B704" w:rsidR="0065582C" w:rsidRPr="0065582C" w:rsidRDefault="0065582C">
    <w:pPr>
      <w:pStyle w:val="Podnoje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77F44C" w14:textId="77777777" w:rsidR="00ED7DE0" w:rsidRDefault="00ED7DE0" w:rsidP="00B06427">
      <w:r>
        <w:separator/>
      </w:r>
    </w:p>
  </w:footnote>
  <w:footnote w:type="continuationSeparator" w:id="0">
    <w:p w14:paraId="553B3434" w14:textId="77777777" w:rsidR="00ED7DE0" w:rsidRDefault="00ED7DE0" w:rsidP="00B064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A06313" w14:textId="0FC83031" w:rsidR="0065582C" w:rsidRPr="0065582C" w:rsidRDefault="0065582C">
    <w:pPr>
      <w:pStyle w:val="Zaglavlje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B4403"/>
    <w:rsid w:val="000E78FB"/>
    <w:rsid w:val="0015659A"/>
    <w:rsid w:val="001770BF"/>
    <w:rsid w:val="001D34E6"/>
    <w:rsid w:val="002A321D"/>
    <w:rsid w:val="002A564B"/>
    <w:rsid w:val="002C3738"/>
    <w:rsid w:val="002D0276"/>
    <w:rsid w:val="003262B0"/>
    <w:rsid w:val="003D4AC4"/>
    <w:rsid w:val="00425FAE"/>
    <w:rsid w:val="004853FD"/>
    <w:rsid w:val="004F13D0"/>
    <w:rsid w:val="004F34B4"/>
    <w:rsid w:val="00637560"/>
    <w:rsid w:val="0065582C"/>
    <w:rsid w:val="00693AB1"/>
    <w:rsid w:val="007031F8"/>
    <w:rsid w:val="00792FE8"/>
    <w:rsid w:val="008110B0"/>
    <w:rsid w:val="008678E5"/>
    <w:rsid w:val="008A562A"/>
    <w:rsid w:val="008C5FE5"/>
    <w:rsid w:val="008E6699"/>
    <w:rsid w:val="009D1E82"/>
    <w:rsid w:val="00A836D0"/>
    <w:rsid w:val="00AC35DA"/>
    <w:rsid w:val="00AF2FCB"/>
    <w:rsid w:val="00B06427"/>
    <w:rsid w:val="00B5261A"/>
    <w:rsid w:val="00B826B3"/>
    <w:rsid w:val="00B92D0F"/>
    <w:rsid w:val="00C46ED2"/>
    <w:rsid w:val="00C9578C"/>
    <w:rsid w:val="00D707B3"/>
    <w:rsid w:val="00DB7A32"/>
    <w:rsid w:val="00DE337C"/>
    <w:rsid w:val="00ED7DE0"/>
    <w:rsid w:val="00EF2895"/>
    <w:rsid w:val="00F706F7"/>
    <w:rsid w:val="00FE09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612B23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0642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06427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B0642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06427"/>
    <w:rPr>
      <w:noProof/>
    </w:rPr>
  </w:style>
  <w:style w:type="table" w:customStyle="1" w:styleId="Reetkatablice1">
    <w:name w:val="Rešetka tablice1"/>
    <w:basedOn w:val="Obinatablica"/>
    <w:next w:val="Reetkatablice"/>
    <w:rsid w:val="00EF2895"/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811FBF18-9302-42BF-AE0E-C923B0CF42CA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1502</Words>
  <Characters>8566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Čavužić</cp:lastModifiedBy>
  <cp:revision>16</cp:revision>
  <cp:lastPrinted>2024-07-18T11:03:00Z</cp:lastPrinted>
  <dcterms:created xsi:type="dcterms:W3CDTF">2024-07-18T11:00:00Z</dcterms:created>
  <dcterms:modified xsi:type="dcterms:W3CDTF">2024-07-19T08:26:00Z</dcterms:modified>
</cp:coreProperties>
</file>