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+*xfs*pvs*Akl*cvA*xBj*qkc*oEa*dks*ctk*voE*pBk*-</w:t>
            </w:r>
            <w:r>
              <w:rPr>
                <w:rFonts w:ascii="PDF417x" w:hAnsi="PDF417x"/>
                <w:sz w:val="24"/>
                <w:szCs w:val="24"/>
              </w:rPr>
              <w:br/>
              <w:t>+*yqw*ojr*wdB*Bbv*yni*krn*ivy*pzj*ugE*fsE*zew*-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+*eDs*lyd*lyd*lyd*lyd*xjc*Egz*vwn*Cty*qBj*zfE*-</w:t>
            </w:r>
            <w:r>
              <w:rPr>
                <w:rFonts w:ascii="PDF417x" w:hAnsi="PDF417x"/>
                <w:sz w:val="24"/>
                <w:szCs w:val="24"/>
              </w:rPr>
              <w:br/>
              <w:t>+*ftw*ibB*DAu*Cas*wqz*vxt*Bgg*qsg*eAk*CDg*onA*-</w:t>
            </w:r>
            <w:r>
              <w:rPr>
                <w:rFonts w:ascii="PDF417x" w:hAnsi="PDF417x"/>
                <w:sz w:val="24"/>
                <w:szCs w:val="24"/>
              </w:rPr>
              <w:br/>
              <w:t>+*ftA*ojg*nnx*ubD*aDx*zid*tiD*xAd*ywh*gbu*uws*-</w:t>
            </w:r>
            <w:r>
              <w:rPr>
                <w:rFonts w:ascii="PDF417x" w:hAnsi="PDF417x"/>
                <w:sz w:val="24"/>
                <w:szCs w:val="24"/>
              </w:rPr>
              <w:br/>
              <w:t>+*xjq*BxE*bto*DvD*bst*cvw*DCb*cEy*mju*bvB*uzq*-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30EED5AA" w:rsidR="008C5FE5" w:rsidRPr="00B06427" w:rsidRDefault="000E78FB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ED0">
        <w:rPr>
          <w:rFonts w:ascii="Arial" w:eastAsia="Calibri" w:hAnsi="Arial" w:cs="Arial"/>
          <w:b/>
        </w:rPr>
        <w:drawing>
          <wp:anchor distT="0" distB="0" distL="114300" distR="114300" simplePos="0" relativeHeight="251673600" behindDoc="1" locked="0" layoutInCell="1" allowOverlap="1" wp14:anchorId="5587B8A4" wp14:editId="7262013D">
            <wp:simplePos x="0" y="0"/>
            <wp:positionH relativeFrom="column">
              <wp:posOffset>1221105</wp:posOffset>
            </wp:positionH>
            <wp:positionV relativeFrom="paragraph">
              <wp:posOffset>17780</wp:posOffset>
            </wp:positionV>
            <wp:extent cx="5238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07" y="20983"/>
                <wp:lineTo x="21207" y="0"/>
                <wp:lineTo x="0" y="0"/>
              </wp:wrapPolygon>
            </wp:wrapTight>
            <wp:docPr id="1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67FD09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218B2EC1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3EAA78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8E4CF3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3DC5DAFB" w14:textId="77777777" w:rsidR="000E78FB" w:rsidRPr="00B06427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           REPUBLIKA HRVATSKA</w:t>
      </w: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br/>
        <w:t xml:space="preserve">      KRAPINSKO-ZAGORSKA ŽUPANIJA</w:t>
      </w:r>
    </w:p>
    <w:p w14:paraId="6A6E9730" w14:textId="77777777" w:rsidR="000E78FB" w:rsidRPr="00B06427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4F1D9FCD" w14:textId="77777777" w:rsidR="00146B4E" w:rsidRPr="003F657E" w:rsidRDefault="000E78FB" w:rsidP="00146B4E">
      <w:pPr>
        <w:jc w:val="both"/>
        <w:rPr>
          <w:rFonts w:ascii="Times New Roman" w:hAnsi="Times New Roman" w:cs="Times New Roman"/>
          <w:b/>
        </w:rPr>
      </w:pPr>
      <w:r w:rsidRPr="00B06427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    </w:t>
      </w:r>
      <w:r w:rsidR="00146B4E" w:rsidRPr="003F657E">
        <w:rPr>
          <w:rFonts w:ascii="Times New Roman" w:hAnsi="Times New Roman" w:cs="Times New Roman"/>
          <w:b/>
        </w:rPr>
        <w:t>UPRAVNI ODJEL ZA OPĆU UPRAVU,</w:t>
      </w:r>
    </w:p>
    <w:p w14:paraId="3E884A86" w14:textId="77777777" w:rsidR="00146B4E" w:rsidRPr="003F657E" w:rsidRDefault="00146B4E" w:rsidP="00146B4E">
      <w:pPr>
        <w:jc w:val="both"/>
        <w:rPr>
          <w:rFonts w:ascii="Times New Roman" w:hAnsi="Times New Roman" w:cs="Times New Roman"/>
          <w:b/>
        </w:rPr>
      </w:pPr>
      <w:r w:rsidRPr="003F657E">
        <w:rPr>
          <w:rFonts w:ascii="Times New Roman" w:hAnsi="Times New Roman" w:cs="Times New Roman"/>
          <w:b/>
        </w:rPr>
        <w:t>IMOVINSKO-PRAVNE I ZAJEDNIČKE POSLOVE</w:t>
      </w:r>
    </w:p>
    <w:p w14:paraId="0D9FC25C" w14:textId="77777777" w:rsidR="00146B4E" w:rsidRPr="003F657E" w:rsidRDefault="00146B4E" w:rsidP="00146B4E">
      <w:pPr>
        <w:jc w:val="both"/>
        <w:rPr>
          <w:rFonts w:ascii="Times New Roman" w:hAnsi="Times New Roman" w:cs="Times New Roman"/>
          <w:b/>
        </w:rPr>
      </w:pPr>
      <w:r w:rsidRPr="003F657E">
        <w:rPr>
          <w:rFonts w:ascii="Times New Roman" w:hAnsi="Times New Roman" w:cs="Times New Roman"/>
          <w:b/>
        </w:rPr>
        <w:t>ODSJEK ZA ZAJEDNIČKE POSLOVE</w:t>
      </w:r>
    </w:p>
    <w:p w14:paraId="44F0086E" w14:textId="77777777" w:rsidR="00146B4E" w:rsidRPr="003F657E" w:rsidRDefault="00146B4E" w:rsidP="00146B4E">
      <w:pPr>
        <w:jc w:val="both"/>
        <w:rPr>
          <w:rFonts w:ascii="Times New Roman" w:hAnsi="Times New Roman" w:cs="Times New Roman"/>
          <w:b/>
        </w:rPr>
      </w:pPr>
    </w:p>
    <w:p w14:paraId="478048F7" w14:textId="77777777" w:rsidR="00146B4E" w:rsidRPr="003F657E" w:rsidRDefault="00146B4E" w:rsidP="00146B4E">
      <w:pPr>
        <w:jc w:val="both"/>
        <w:rPr>
          <w:rFonts w:ascii="Times New Roman" w:hAnsi="Times New Roman" w:cs="Times New Roman"/>
        </w:rPr>
      </w:pPr>
      <w:r w:rsidRPr="003F657E">
        <w:rPr>
          <w:rFonts w:ascii="Times New Roman" w:hAnsi="Times New Roman" w:cs="Times New Roman"/>
        </w:rPr>
        <w:t>KLASA:</w:t>
      </w:r>
      <w:r>
        <w:rPr>
          <w:rFonts w:ascii="Times New Roman" w:hAnsi="Times New Roman" w:cs="Times New Roman"/>
        </w:rPr>
        <w:t xml:space="preserve"> </w:t>
      </w:r>
      <w:r w:rsidRPr="003F657E">
        <w:rPr>
          <w:rFonts w:ascii="Times New Roman" w:hAnsi="Times New Roman" w:cs="Times New Roman"/>
        </w:rPr>
        <w:t>245-01/2</w:t>
      </w:r>
      <w:r>
        <w:rPr>
          <w:rFonts w:ascii="Times New Roman" w:hAnsi="Times New Roman" w:cs="Times New Roman"/>
        </w:rPr>
        <w:t>4</w:t>
      </w:r>
      <w:r w:rsidRPr="003F657E">
        <w:rPr>
          <w:rFonts w:ascii="Times New Roman" w:hAnsi="Times New Roman" w:cs="Times New Roman"/>
        </w:rPr>
        <w:t>-01/0</w:t>
      </w:r>
      <w:r>
        <w:rPr>
          <w:rFonts w:ascii="Times New Roman" w:hAnsi="Times New Roman" w:cs="Times New Roman"/>
        </w:rPr>
        <w:t>4</w:t>
      </w:r>
    </w:p>
    <w:p w14:paraId="1F7BFFE1" w14:textId="77777777" w:rsidR="00146B4E" w:rsidRPr="003F657E" w:rsidRDefault="00146B4E" w:rsidP="00146B4E">
      <w:pPr>
        <w:jc w:val="both"/>
        <w:rPr>
          <w:rFonts w:ascii="Times New Roman" w:hAnsi="Times New Roman" w:cs="Times New Roman"/>
        </w:rPr>
      </w:pPr>
      <w:r w:rsidRPr="003F657E">
        <w:rPr>
          <w:rFonts w:ascii="Times New Roman" w:hAnsi="Times New Roman" w:cs="Times New Roman"/>
        </w:rPr>
        <w:t>URBROJ: 2140-05-03/1-</w:t>
      </w:r>
      <w:r>
        <w:rPr>
          <w:rFonts w:ascii="Times New Roman" w:hAnsi="Times New Roman" w:cs="Times New Roman"/>
        </w:rPr>
        <w:t>1</w:t>
      </w:r>
    </w:p>
    <w:p w14:paraId="73140D89" w14:textId="77777777" w:rsidR="00146B4E" w:rsidRPr="00693F45" w:rsidRDefault="00146B4E" w:rsidP="00146B4E">
      <w:pPr>
        <w:jc w:val="both"/>
        <w:rPr>
          <w:rFonts w:ascii="Times New Roman" w:hAnsi="Times New Roman" w:cs="Times New Roman"/>
        </w:rPr>
      </w:pPr>
      <w:r w:rsidRPr="003F657E">
        <w:rPr>
          <w:rFonts w:ascii="Times New Roman" w:hAnsi="Times New Roman" w:cs="Times New Roman"/>
        </w:rPr>
        <w:t xml:space="preserve">Krapina, </w:t>
      </w:r>
      <w:r>
        <w:rPr>
          <w:rFonts w:ascii="Times New Roman" w:hAnsi="Times New Roman" w:cs="Times New Roman"/>
        </w:rPr>
        <w:t>31. listopada</w:t>
      </w:r>
      <w:r w:rsidRPr="003F657E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3F657E">
        <w:rPr>
          <w:rFonts w:ascii="Times New Roman" w:hAnsi="Times New Roman" w:cs="Times New Roman"/>
        </w:rPr>
        <w:t>.</w:t>
      </w:r>
    </w:p>
    <w:p w14:paraId="635846D0" w14:textId="77777777" w:rsidR="00146B4E" w:rsidRPr="00DF4A97" w:rsidRDefault="00146B4E" w:rsidP="00146B4E">
      <w:pPr>
        <w:rPr>
          <w:b/>
          <w:i/>
          <w:sz w:val="24"/>
          <w:szCs w:val="24"/>
        </w:rPr>
      </w:pPr>
      <w:r w:rsidRPr="00DF4A97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</w:t>
      </w:r>
      <w:r w:rsidRPr="00DF4A97">
        <w:rPr>
          <w:sz w:val="24"/>
          <w:szCs w:val="24"/>
        </w:rPr>
        <w:t xml:space="preserve">                                       </w:t>
      </w:r>
    </w:p>
    <w:p w14:paraId="4CA1981E" w14:textId="77777777" w:rsidR="00146B4E" w:rsidRPr="00DF4A97" w:rsidRDefault="00146B4E" w:rsidP="00146B4E">
      <w:pPr>
        <w:pStyle w:val="Bezproreda"/>
        <w:jc w:val="both"/>
        <w:rPr>
          <w:sz w:val="24"/>
          <w:szCs w:val="24"/>
        </w:rPr>
      </w:pPr>
      <w:r w:rsidRPr="00DF4A97">
        <w:rPr>
          <w:sz w:val="24"/>
          <w:szCs w:val="24"/>
        </w:rPr>
        <w:t xml:space="preserve">      </w:t>
      </w:r>
      <w:r w:rsidRPr="00DF4A97">
        <w:rPr>
          <w:sz w:val="24"/>
          <w:szCs w:val="24"/>
        </w:rPr>
        <w:tab/>
        <w:t>Na temelju članka 17. Statuta Krapinsko-zagorske županije („Službeni glasnik Krapinsko-zagorske županije“, broj 13/01, 5/06, 14/09, 11/13</w:t>
      </w:r>
      <w:r>
        <w:rPr>
          <w:sz w:val="24"/>
          <w:szCs w:val="24"/>
        </w:rPr>
        <w:t>, 13/18., 5/20., 10/21. i 15/21-pročišćeni tekst</w:t>
      </w:r>
      <w:r w:rsidRPr="00DF4A97">
        <w:rPr>
          <w:sz w:val="24"/>
          <w:szCs w:val="24"/>
        </w:rPr>
        <w:t>) i Kodeksa savjetovanja sa zainteresiranom javnošću u postupcima donošenja općih akata Krapinsko-zagorske županije („Službeni glasnik Krapinsko-zagorske županije“, broj 24/14.) upućuje se </w:t>
      </w:r>
    </w:p>
    <w:p w14:paraId="6E5588B8" w14:textId="77777777" w:rsidR="00146B4E" w:rsidRPr="00DF4A97" w:rsidRDefault="00146B4E" w:rsidP="00146B4E">
      <w:pPr>
        <w:pStyle w:val="Bezproreda"/>
        <w:jc w:val="both"/>
        <w:rPr>
          <w:sz w:val="24"/>
          <w:szCs w:val="24"/>
        </w:rPr>
      </w:pPr>
    </w:p>
    <w:p w14:paraId="626AE22B" w14:textId="77777777" w:rsidR="00146B4E" w:rsidRPr="00DF4A97" w:rsidRDefault="00146B4E" w:rsidP="00146B4E">
      <w:pPr>
        <w:pStyle w:val="Bezproreda"/>
        <w:jc w:val="center"/>
        <w:rPr>
          <w:rStyle w:val="Naglaeno"/>
          <w:sz w:val="24"/>
          <w:szCs w:val="24"/>
        </w:rPr>
      </w:pPr>
      <w:r w:rsidRPr="00DF4A97">
        <w:rPr>
          <w:rStyle w:val="Naglaeno"/>
          <w:sz w:val="24"/>
          <w:szCs w:val="24"/>
        </w:rPr>
        <w:t>Javni poziv</w:t>
      </w:r>
      <w:r w:rsidRPr="00DF4A97">
        <w:rPr>
          <w:sz w:val="24"/>
          <w:szCs w:val="24"/>
        </w:rPr>
        <w:t xml:space="preserve"> </w:t>
      </w:r>
      <w:r w:rsidRPr="00DF4A97">
        <w:rPr>
          <w:rStyle w:val="Naglaeno"/>
          <w:sz w:val="24"/>
          <w:szCs w:val="24"/>
        </w:rPr>
        <w:t>za savjetovanje sa zainteresiranom javnošću</w:t>
      </w:r>
    </w:p>
    <w:p w14:paraId="3973780B" w14:textId="77777777" w:rsidR="00146B4E" w:rsidRPr="003F657E" w:rsidRDefault="00146B4E" w:rsidP="00146B4E">
      <w:pPr>
        <w:pStyle w:val="Bezproreda"/>
        <w:jc w:val="center"/>
        <w:rPr>
          <w:rStyle w:val="Naglaeno"/>
          <w:b w:val="0"/>
          <w:bCs w:val="0"/>
          <w:sz w:val="24"/>
          <w:szCs w:val="24"/>
        </w:rPr>
      </w:pPr>
      <w:r w:rsidRPr="003F657E">
        <w:rPr>
          <w:rStyle w:val="Naglaeno"/>
          <w:sz w:val="24"/>
          <w:szCs w:val="24"/>
        </w:rPr>
        <w:t xml:space="preserve"> u postupku donošenja</w:t>
      </w:r>
    </w:p>
    <w:p w14:paraId="1DD11178" w14:textId="77777777" w:rsidR="00146B4E" w:rsidRPr="003F657E" w:rsidRDefault="00146B4E" w:rsidP="00146B4E">
      <w:pPr>
        <w:jc w:val="center"/>
        <w:rPr>
          <w:rStyle w:val="Naglaeno"/>
          <w:rFonts w:ascii="Times New Roman" w:hAnsi="Times New Roman" w:cs="Times New Roman"/>
          <w:sz w:val="24"/>
          <w:szCs w:val="24"/>
        </w:rPr>
      </w:pPr>
      <w:r w:rsidRPr="003F657E">
        <w:rPr>
          <w:rStyle w:val="Naglaeno"/>
          <w:rFonts w:ascii="Times New Roman" w:hAnsi="Times New Roman" w:cs="Times New Roman"/>
          <w:sz w:val="24"/>
          <w:szCs w:val="24"/>
        </w:rPr>
        <w:t>Godišnjeg provedbenog plana unapređenja zaštite od požara</w:t>
      </w:r>
    </w:p>
    <w:p w14:paraId="7897E967" w14:textId="77777777" w:rsidR="00146B4E" w:rsidRPr="00693F45" w:rsidRDefault="00146B4E" w:rsidP="00146B4E">
      <w:pPr>
        <w:jc w:val="center"/>
        <w:rPr>
          <w:rStyle w:val="Naglaeno"/>
          <w:rFonts w:ascii="Times New Roman" w:hAnsi="Times New Roman" w:cs="Times New Roman"/>
          <w:sz w:val="24"/>
          <w:szCs w:val="24"/>
        </w:rPr>
      </w:pPr>
      <w:r w:rsidRPr="003F657E">
        <w:rPr>
          <w:rStyle w:val="Naglaeno"/>
          <w:rFonts w:ascii="Times New Roman" w:hAnsi="Times New Roman" w:cs="Times New Roman"/>
          <w:sz w:val="24"/>
          <w:szCs w:val="24"/>
        </w:rPr>
        <w:t>za područje Krapinsko-zagorske županije za 202</w:t>
      </w:r>
      <w:r>
        <w:rPr>
          <w:rStyle w:val="Naglaeno"/>
          <w:rFonts w:ascii="Times New Roman" w:hAnsi="Times New Roman" w:cs="Times New Roman"/>
          <w:sz w:val="24"/>
          <w:szCs w:val="24"/>
        </w:rPr>
        <w:t>5</w:t>
      </w:r>
      <w:r w:rsidRPr="003F657E">
        <w:rPr>
          <w:rStyle w:val="Naglaeno"/>
          <w:rFonts w:ascii="Times New Roman" w:hAnsi="Times New Roman" w:cs="Times New Roman"/>
          <w:sz w:val="24"/>
          <w:szCs w:val="24"/>
        </w:rPr>
        <w:t>. godinu</w:t>
      </w:r>
      <w:r w:rsidRPr="003F657E">
        <w:rPr>
          <w:rStyle w:val="Naglaeno"/>
          <w:sz w:val="24"/>
          <w:szCs w:val="24"/>
        </w:rPr>
        <w:t xml:space="preserve"> </w:t>
      </w:r>
    </w:p>
    <w:p w14:paraId="76E21930" w14:textId="77777777" w:rsidR="00146B4E" w:rsidRPr="00DF4A97" w:rsidRDefault="00146B4E" w:rsidP="00146B4E">
      <w:pPr>
        <w:pStyle w:val="Bezproreda"/>
        <w:jc w:val="center"/>
        <w:rPr>
          <w:sz w:val="24"/>
          <w:szCs w:val="24"/>
        </w:rPr>
      </w:pPr>
    </w:p>
    <w:p w14:paraId="5AED418B" w14:textId="77777777" w:rsidR="00146B4E" w:rsidRPr="00DF4A97" w:rsidRDefault="00146B4E" w:rsidP="00146B4E">
      <w:pPr>
        <w:pStyle w:val="Bezproreda"/>
        <w:tabs>
          <w:tab w:val="left" w:pos="840"/>
        </w:tabs>
        <w:jc w:val="both"/>
        <w:rPr>
          <w:sz w:val="24"/>
          <w:szCs w:val="24"/>
        </w:rPr>
      </w:pPr>
      <w:r w:rsidRPr="00DF4A97">
        <w:rPr>
          <w:sz w:val="24"/>
          <w:szCs w:val="24"/>
        </w:rPr>
        <w:tab/>
        <w:t>Člankom 13. stavkom 4. Zakona o zaštiti od požara („Narodne novine“, broj 92/10.</w:t>
      </w:r>
      <w:r>
        <w:rPr>
          <w:sz w:val="24"/>
          <w:szCs w:val="24"/>
        </w:rPr>
        <w:t xml:space="preserve"> i 114/22.</w:t>
      </w:r>
      <w:r w:rsidRPr="00DF4A97">
        <w:rPr>
          <w:sz w:val="24"/>
          <w:szCs w:val="24"/>
        </w:rPr>
        <w:t>) propisano je da jedinice lokalne i područne (regionalne) samouprave na temelju procjene ugroženosti od požara donose godišnji provedbeni plan unapređenja zaštite od poža</w:t>
      </w:r>
      <w:r>
        <w:rPr>
          <w:sz w:val="24"/>
          <w:szCs w:val="24"/>
        </w:rPr>
        <w:t>ra za svoje područje za čiju pro</w:t>
      </w:r>
      <w:r w:rsidRPr="00DF4A97">
        <w:rPr>
          <w:sz w:val="24"/>
          <w:szCs w:val="24"/>
        </w:rPr>
        <w:t xml:space="preserve">vedbu će osigurati financijska sredstva. Određeno je da se godišnji provedbeni plan unapređenja zaštite od požara županije donosi uz sudjelovanje nadležne policijske uprave i vatrogasne zajednice županije te da temeljem njega gradovi i općine donose godišnje provedbene planove za svoje područje. </w:t>
      </w:r>
    </w:p>
    <w:p w14:paraId="5AF85C1E" w14:textId="77777777" w:rsidR="00146B4E" w:rsidRPr="00DF4A97" w:rsidRDefault="00146B4E" w:rsidP="00146B4E">
      <w:pPr>
        <w:pStyle w:val="Bezproreda"/>
        <w:tabs>
          <w:tab w:val="left" w:pos="840"/>
        </w:tabs>
        <w:jc w:val="both"/>
        <w:rPr>
          <w:sz w:val="24"/>
          <w:szCs w:val="24"/>
          <w:shd w:val="clear" w:color="auto" w:fill="FFFFFF"/>
        </w:rPr>
      </w:pPr>
      <w:r w:rsidRPr="00DF4A97">
        <w:rPr>
          <w:sz w:val="24"/>
          <w:szCs w:val="24"/>
        </w:rPr>
        <w:t xml:space="preserve"> </w:t>
      </w:r>
      <w:r w:rsidRPr="00DF4A97">
        <w:rPr>
          <w:sz w:val="24"/>
          <w:szCs w:val="24"/>
        </w:rPr>
        <w:tab/>
        <w:t xml:space="preserve"> Kako je stavkom 9. istog članka Zakona o zaštiti od požara propisano da će jedinice lokalne i područne (regionalne) samouprave u donošenju planova osigurati sudjelovanje javnosti i sukladno odredbama Kodeksa savjetovanja sa zainteresiranom javnošću u postupcima donošenja općih akata Krapinsko-zagorske županije (Službeni glasnik Krapinsko-zagorske županije“, broj 24/14.), poziva se zainteresirana javnost da svojim prijedlozima i sugestijama pridonese </w:t>
      </w:r>
      <w:r w:rsidRPr="00DF4A97">
        <w:rPr>
          <w:sz w:val="24"/>
          <w:szCs w:val="24"/>
          <w:shd w:val="clear" w:color="auto" w:fill="FFFFFF"/>
        </w:rPr>
        <w:t xml:space="preserve">kvaliteti akta koji se donosi. </w:t>
      </w:r>
    </w:p>
    <w:p w14:paraId="04F2D6F3" w14:textId="77777777" w:rsidR="00146B4E" w:rsidRPr="00DF4A97" w:rsidRDefault="00146B4E" w:rsidP="00146B4E">
      <w:pPr>
        <w:pStyle w:val="Bezproreda"/>
        <w:ind w:firstLine="720"/>
        <w:jc w:val="both"/>
        <w:rPr>
          <w:sz w:val="24"/>
          <w:szCs w:val="24"/>
          <w:shd w:val="clear" w:color="auto" w:fill="FFFFFF"/>
        </w:rPr>
      </w:pPr>
      <w:r w:rsidRPr="00DF4A97">
        <w:rPr>
          <w:sz w:val="24"/>
          <w:szCs w:val="24"/>
          <w:shd w:val="clear" w:color="auto" w:fill="FFFFFF"/>
        </w:rPr>
        <w:t>Svi u roku pristigli prijedlozi razmotrit će se</w:t>
      </w:r>
      <w:r>
        <w:rPr>
          <w:sz w:val="24"/>
          <w:szCs w:val="24"/>
          <w:shd w:val="clear" w:color="auto" w:fill="FFFFFF"/>
        </w:rPr>
        <w:t xml:space="preserve"> i, oni prihvaćeni, ugraditi</w:t>
      </w:r>
      <w:r w:rsidRPr="00DF4A97">
        <w:rPr>
          <w:sz w:val="24"/>
          <w:szCs w:val="24"/>
          <w:shd w:val="clear" w:color="auto" w:fill="FFFFFF"/>
        </w:rPr>
        <w:t xml:space="preserve"> u konačni prijedlog nacrta </w:t>
      </w:r>
      <w:r>
        <w:rPr>
          <w:sz w:val="24"/>
          <w:szCs w:val="24"/>
          <w:shd w:val="clear" w:color="auto" w:fill="FFFFFF"/>
        </w:rPr>
        <w:t>Godišnjeg provedbenog plana unapređenja zaštite od požara za područje Krapinsko-zagorske županije za 2025. godinu koji</w:t>
      </w:r>
      <w:r w:rsidRPr="00DF4A97">
        <w:rPr>
          <w:sz w:val="24"/>
          <w:szCs w:val="24"/>
          <w:shd w:val="clear" w:color="auto" w:fill="FFFFFF"/>
        </w:rPr>
        <w:t xml:space="preserve"> će se uputiti Županijskoj skupštini na donošenje.</w:t>
      </w:r>
    </w:p>
    <w:p w14:paraId="732CD8E7" w14:textId="77777777" w:rsidR="00146B4E" w:rsidRPr="00DF4A97" w:rsidRDefault="00146B4E" w:rsidP="00146B4E">
      <w:pPr>
        <w:pStyle w:val="Bezproreda"/>
        <w:ind w:firstLine="720"/>
        <w:jc w:val="both"/>
        <w:rPr>
          <w:sz w:val="24"/>
          <w:szCs w:val="24"/>
          <w:shd w:val="clear" w:color="auto" w:fill="FFFFFF"/>
        </w:rPr>
      </w:pPr>
      <w:r w:rsidRPr="00DF4A97">
        <w:rPr>
          <w:sz w:val="24"/>
          <w:szCs w:val="24"/>
          <w:shd w:val="clear" w:color="auto" w:fill="FFFFFF"/>
        </w:rPr>
        <w:t>Svoje prijedloge možete u pisanom obliku poslati na adresu</w:t>
      </w:r>
      <w:r>
        <w:rPr>
          <w:sz w:val="24"/>
          <w:szCs w:val="24"/>
          <w:shd w:val="clear" w:color="auto" w:fill="FFFFFF"/>
        </w:rPr>
        <w:t>:</w:t>
      </w:r>
      <w:r w:rsidRPr="00DF4A97">
        <w:rPr>
          <w:sz w:val="24"/>
          <w:szCs w:val="24"/>
          <w:shd w:val="clear" w:color="auto" w:fill="FFFFFF"/>
        </w:rPr>
        <w:t xml:space="preserve"> Krapinsko-zagorska županija, Upravni odjel za opć</w:t>
      </w:r>
      <w:r>
        <w:rPr>
          <w:sz w:val="24"/>
          <w:szCs w:val="24"/>
          <w:shd w:val="clear" w:color="auto" w:fill="FFFFFF"/>
        </w:rPr>
        <w:t>u upravu, imovinsko-pravne i zajedničke poslove</w:t>
      </w:r>
      <w:r w:rsidRPr="00DF4A97">
        <w:rPr>
          <w:sz w:val="24"/>
          <w:szCs w:val="24"/>
          <w:shd w:val="clear" w:color="auto" w:fill="FFFFFF"/>
        </w:rPr>
        <w:t xml:space="preserve">, Magistratska 1, Krapina, te na e-mail adresu: </w:t>
      </w:r>
      <w:hyperlink r:id="rId8" w:history="1">
        <w:r w:rsidRPr="00767E65">
          <w:rPr>
            <w:rStyle w:val="Hiperveza"/>
            <w:sz w:val="24"/>
            <w:szCs w:val="24"/>
            <w:shd w:val="clear" w:color="auto" w:fill="FFFFFF"/>
          </w:rPr>
          <w:t>marija.bedenikovic@kzz.hr</w:t>
        </w:r>
      </w:hyperlink>
      <w:r w:rsidRPr="00DF4A97">
        <w:rPr>
          <w:sz w:val="24"/>
          <w:szCs w:val="24"/>
          <w:shd w:val="clear" w:color="auto" w:fill="FFFFFF"/>
        </w:rPr>
        <w:t xml:space="preserve"> zaključno s danom </w:t>
      </w:r>
      <w:r>
        <w:rPr>
          <w:sz w:val="24"/>
          <w:szCs w:val="24"/>
          <w:shd w:val="clear" w:color="auto" w:fill="FFFFFF"/>
        </w:rPr>
        <w:t>20. studenog</w:t>
      </w:r>
      <w:r w:rsidRPr="00DF4A97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2024</w:t>
      </w:r>
      <w:r w:rsidRPr="00DF4A97">
        <w:rPr>
          <w:sz w:val="24"/>
          <w:szCs w:val="24"/>
          <w:shd w:val="clear" w:color="auto" w:fill="FFFFFF"/>
        </w:rPr>
        <w:t>. godine.</w:t>
      </w:r>
    </w:p>
    <w:p w14:paraId="1A8A11B4" w14:textId="77777777" w:rsidR="00146B4E" w:rsidRPr="00DF4A97" w:rsidRDefault="00146B4E" w:rsidP="00146B4E">
      <w:pPr>
        <w:pStyle w:val="Bezproreda"/>
        <w:ind w:left="5040" w:firstLine="720"/>
        <w:jc w:val="both"/>
        <w:rPr>
          <w:bCs/>
          <w:sz w:val="24"/>
          <w:szCs w:val="24"/>
        </w:rPr>
      </w:pPr>
    </w:p>
    <w:p w14:paraId="3DD5DC90" w14:textId="77777777" w:rsidR="00146B4E" w:rsidRPr="00DF4A97" w:rsidRDefault="00146B4E" w:rsidP="00146B4E">
      <w:pPr>
        <w:pStyle w:val="Bezproreda"/>
        <w:ind w:left="5040" w:firstLine="720"/>
        <w:jc w:val="both"/>
        <w:rPr>
          <w:bCs/>
          <w:sz w:val="24"/>
          <w:szCs w:val="24"/>
        </w:rPr>
      </w:pPr>
    </w:p>
    <w:p w14:paraId="507B66AA" w14:textId="77777777" w:rsidR="00146B4E" w:rsidRPr="00DF4A97" w:rsidRDefault="00146B4E" w:rsidP="00146B4E">
      <w:pPr>
        <w:pStyle w:val="Bezproreda"/>
        <w:ind w:left="5040" w:firstLine="720"/>
        <w:jc w:val="both"/>
        <w:rPr>
          <w:b/>
          <w:sz w:val="24"/>
          <w:szCs w:val="24"/>
        </w:rPr>
      </w:pPr>
      <w:r w:rsidRPr="00DF4A9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PROČELNICA</w:t>
      </w:r>
      <w:r w:rsidRPr="00DF4A97">
        <w:rPr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291E663E" w14:textId="77777777" w:rsidR="00146B4E" w:rsidRPr="00DF4A97" w:rsidRDefault="00146B4E" w:rsidP="00146B4E">
      <w:pPr>
        <w:pStyle w:val="Bezproreda"/>
        <w:jc w:val="both"/>
        <w:rPr>
          <w:sz w:val="24"/>
          <w:szCs w:val="24"/>
        </w:rPr>
      </w:pPr>
      <w:r w:rsidRPr="00DF4A97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                 Silvija Profeta Fabijančić</w:t>
      </w:r>
    </w:p>
    <w:p w14:paraId="0FF1C83A" w14:textId="77777777" w:rsidR="00146B4E" w:rsidRPr="000E78FB" w:rsidRDefault="00146B4E" w:rsidP="00146B4E">
      <w:pPr>
        <w:rPr>
          <w:rFonts w:ascii="Times New Roman" w:hAnsi="Times New Roman" w:cs="Times New Roman"/>
          <w:sz w:val="24"/>
          <w:szCs w:val="24"/>
        </w:rPr>
      </w:pPr>
    </w:p>
    <w:sectPr w:rsidR="00146B4E" w:rsidRPr="000E78FB" w:rsidSect="00DE337C">
      <w:headerReference w:type="default" r:id="rId9"/>
      <w:footerReference w:type="default" r:id="rId10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4E838" w14:textId="77777777" w:rsidR="00B20A44" w:rsidRDefault="00B20A44" w:rsidP="00B06427">
      <w:r>
        <w:separator/>
      </w:r>
    </w:p>
  </w:endnote>
  <w:endnote w:type="continuationSeparator" w:id="0">
    <w:p w14:paraId="0F1051AD" w14:textId="77777777" w:rsidR="00B20A44" w:rsidRDefault="00B20A44" w:rsidP="00B0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7B4B6" w14:textId="3279B704" w:rsidR="0065582C" w:rsidRPr="0065582C" w:rsidRDefault="0065582C">
    <w:pPr>
      <w:pStyle w:val="Podno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4B710" w14:textId="77777777" w:rsidR="00B20A44" w:rsidRDefault="00B20A44" w:rsidP="00B06427">
      <w:r>
        <w:separator/>
      </w:r>
    </w:p>
  </w:footnote>
  <w:footnote w:type="continuationSeparator" w:id="0">
    <w:p w14:paraId="08899F2A" w14:textId="77777777" w:rsidR="00B20A44" w:rsidRDefault="00B20A44" w:rsidP="00B0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06313" w14:textId="0FC83031" w:rsidR="0065582C" w:rsidRPr="0065582C" w:rsidRDefault="0065582C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44C65"/>
    <w:rsid w:val="000B4403"/>
    <w:rsid w:val="000E78FB"/>
    <w:rsid w:val="00146B4E"/>
    <w:rsid w:val="0015659A"/>
    <w:rsid w:val="003D4AC4"/>
    <w:rsid w:val="004853FD"/>
    <w:rsid w:val="004F13D0"/>
    <w:rsid w:val="004F34B4"/>
    <w:rsid w:val="0065582C"/>
    <w:rsid w:val="00693AB1"/>
    <w:rsid w:val="006F5271"/>
    <w:rsid w:val="00792FE8"/>
    <w:rsid w:val="0085766C"/>
    <w:rsid w:val="008A562A"/>
    <w:rsid w:val="008C5FE5"/>
    <w:rsid w:val="00987C68"/>
    <w:rsid w:val="00A836D0"/>
    <w:rsid w:val="00AC35DA"/>
    <w:rsid w:val="00B06427"/>
    <w:rsid w:val="00B20A44"/>
    <w:rsid w:val="00B92D0F"/>
    <w:rsid w:val="00C5786F"/>
    <w:rsid w:val="00C9578C"/>
    <w:rsid w:val="00D707B3"/>
    <w:rsid w:val="00DE337C"/>
    <w:rsid w:val="00E43477"/>
    <w:rsid w:val="00F706F7"/>
    <w:rsid w:val="00FE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6427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6427"/>
    <w:rPr>
      <w:noProof/>
    </w:rPr>
  </w:style>
  <w:style w:type="character" w:styleId="Naglaeno">
    <w:name w:val="Strong"/>
    <w:uiPriority w:val="22"/>
    <w:qFormat/>
    <w:rsid w:val="00146B4E"/>
    <w:rPr>
      <w:b/>
      <w:bCs/>
    </w:rPr>
  </w:style>
  <w:style w:type="paragraph" w:styleId="Bezproreda">
    <w:name w:val="No Spacing"/>
    <w:uiPriority w:val="1"/>
    <w:qFormat/>
    <w:rsid w:val="00146B4E"/>
    <w:rPr>
      <w:rFonts w:ascii="Times New Roman" w:eastAsia="Times New Roman" w:hAnsi="Times New Roman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bedenikovic@kzz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Marija Bedeniković</cp:lastModifiedBy>
  <cp:revision>2</cp:revision>
  <cp:lastPrinted>2014-11-26T14:09:00Z</cp:lastPrinted>
  <dcterms:created xsi:type="dcterms:W3CDTF">2024-10-31T07:37:00Z</dcterms:created>
  <dcterms:modified xsi:type="dcterms:W3CDTF">2024-10-31T07:37:00Z</dcterms:modified>
</cp:coreProperties>
</file>