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C2DF0" w14:textId="49DA2C9C" w:rsidR="002F1711" w:rsidRPr="00C52120" w:rsidRDefault="00B611DC" w:rsidP="00C52120">
      <w:pPr>
        <w:jc w:val="center"/>
        <w:rPr>
          <w:rFonts w:cs="Times New Roman"/>
          <w:b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3</w:t>
      </w:r>
      <w:r w:rsidR="009932BA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. OBRAZLOŽENJE </w:t>
      </w:r>
      <w:r w:rsidR="00020520">
        <w:rPr>
          <w:rFonts w:cs="Times New Roman"/>
          <w:b/>
          <w:color w:val="000000" w:themeColor="text1"/>
          <w:sz w:val="24"/>
          <w:szCs w:val="24"/>
          <w:lang w:val="hr-HR"/>
        </w:rPr>
        <w:t>POLUGODIŠNJEG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IZVJEŠTAJA O IZVRŠENJU PRORAČUNA </w:t>
      </w:r>
      <w:r w:rsidR="00424CA5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KRAPINSKO-ZAGORSKE ŽUPANIJE 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ZA RAZDOBLJE OD 01.</w:t>
      </w:r>
      <w:r w:rsidR="00424CA5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SIJEČNJA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DO 3</w:t>
      </w:r>
      <w:r w:rsidR="00020520">
        <w:rPr>
          <w:rFonts w:cs="Times New Roman"/>
          <w:b/>
          <w:color w:val="000000" w:themeColor="text1"/>
          <w:sz w:val="24"/>
          <w:szCs w:val="24"/>
          <w:lang w:val="hr-HR"/>
        </w:rPr>
        <w:t>0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.</w:t>
      </w:r>
      <w:r w:rsidR="00424CA5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</w:t>
      </w:r>
      <w:r w:rsidR="00020520">
        <w:rPr>
          <w:rFonts w:cs="Times New Roman"/>
          <w:b/>
          <w:color w:val="000000" w:themeColor="text1"/>
          <w:sz w:val="24"/>
          <w:szCs w:val="24"/>
          <w:lang w:val="hr-HR"/>
        </w:rPr>
        <w:t>LIPNJA</w:t>
      </w:r>
      <w:r w:rsidR="00424CA5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202</w:t>
      </w:r>
      <w:r w:rsidR="00020520">
        <w:rPr>
          <w:rFonts w:cs="Times New Roman"/>
          <w:b/>
          <w:color w:val="000000" w:themeColor="text1"/>
          <w:sz w:val="24"/>
          <w:szCs w:val="24"/>
          <w:lang w:val="hr-HR"/>
        </w:rPr>
        <w:t>4</w:t>
      </w:r>
      <w:r w:rsidR="00611DD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. GODINE</w:t>
      </w:r>
    </w:p>
    <w:p w14:paraId="42331875" w14:textId="77777777" w:rsidR="00424CA5" w:rsidRPr="00C52120" w:rsidRDefault="00424CA5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F0DD46D" w14:textId="0C26A39C" w:rsidR="00424CA5" w:rsidRPr="00C52120" w:rsidRDefault="008B2CD9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  <w:t xml:space="preserve">3.1. </w:t>
      </w:r>
      <w:r w:rsidR="00707510" w:rsidRPr="00C52120"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  <w:t>UVOD</w:t>
      </w:r>
    </w:p>
    <w:p w14:paraId="05B486F0" w14:textId="77777777" w:rsidR="00D300B9" w:rsidRPr="00C52120" w:rsidRDefault="00D300B9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14937BFA" w14:textId="36B9D41C" w:rsidR="00424CA5" w:rsidRPr="00C52120" w:rsidRDefault="00424CA5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Temeljem odredbi članka 8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Zakona o proračunu </w:t>
      </w:r>
      <w:r w:rsidR="00770444" w:rsidRPr="00C52120">
        <w:rPr>
          <w:rFonts w:cs="Times New Roman"/>
          <w:color w:val="000000" w:themeColor="text1"/>
          <w:sz w:val="24"/>
          <w:szCs w:val="24"/>
          <w:lang w:val="hr-HR"/>
        </w:rPr>
        <w:t>(„Narodne novine“, broj 144/</w:t>
      </w:r>
      <w:r w:rsidR="005E1E77" w:rsidRPr="00C52120">
        <w:rPr>
          <w:rFonts w:cs="Times New Roman"/>
          <w:color w:val="000000" w:themeColor="text1"/>
          <w:sz w:val="24"/>
          <w:szCs w:val="24"/>
          <w:lang w:val="hr-HR"/>
        </w:rPr>
        <w:t>20</w:t>
      </w:r>
      <w:r w:rsidR="0077044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21), propisano je da Ministarstvo financija, odnosno upravno tijelo za financije izrađuje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polugodišnji</w:t>
      </w:r>
      <w:r w:rsidR="0077044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izvještaj o izvršenju proračuna i dostavlja ga Vladi, odnosno načelniku, gradonačelniku, županu</w:t>
      </w:r>
      <w:r w:rsidR="00CA0EBE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najkasnije do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15. rujna tekuće proračunske godine.</w:t>
      </w:r>
    </w:p>
    <w:p w14:paraId="76919FB5" w14:textId="5EC6F2D9" w:rsidR="00CA0EBE" w:rsidRPr="00C52120" w:rsidRDefault="00CA0EBE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Vlada, na prijedlog Ministarstva financija, odnosno načelnik, gradonačelnik, župan podnosi Saboru odnosno predstavničkom tijelu na donošenje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prijedlog polugodišnjeg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izvještaj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a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o izvršenju proračuna do 3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rujna tekuće proračunske godine.</w:t>
      </w:r>
    </w:p>
    <w:p w14:paraId="61B2A4F1" w14:textId="440EF799" w:rsidR="00CA0EBE" w:rsidRPr="00C52120" w:rsidRDefault="00932445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Izgled i sadržaj </w:t>
      </w:r>
      <w:r w:rsidR="007C776C">
        <w:rPr>
          <w:rFonts w:cs="Times New Roman"/>
          <w:color w:val="000000" w:themeColor="text1"/>
          <w:sz w:val="24"/>
          <w:szCs w:val="24"/>
          <w:lang w:val="hr-HR"/>
        </w:rPr>
        <w:t>polugodišnjeg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izvještaja o izvršenju proračuna propisan je Pravilnikom o polugodišnjem i godišnjem izvještaju o izvršenju proračuna i financijskog plana („Narodne novine“, broj </w:t>
      </w:r>
      <w:r w:rsidR="005E1E77" w:rsidRPr="00C52120">
        <w:rPr>
          <w:rFonts w:cs="Times New Roman"/>
          <w:color w:val="000000" w:themeColor="text1"/>
          <w:sz w:val="24"/>
          <w:szCs w:val="24"/>
          <w:lang w:val="hr-HR"/>
        </w:rPr>
        <w:t>85/2023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)</w:t>
      </w:r>
      <w:r w:rsidR="00A87BB2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</w:p>
    <w:p w14:paraId="5A2E9114" w14:textId="77777777" w:rsidR="005808C3" w:rsidRPr="00C52120" w:rsidRDefault="005808C3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</w:p>
    <w:p w14:paraId="260DE734" w14:textId="1D22C6BA" w:rsidR="00932445" w:rsidRDefault="008B2CD9" w:rsidP="00081472">
      <w:pPr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  <w:t xml:space="preserve">3.2. </w:t>
      </w:r>
      <w:r w:rsidR="002832D2" w:rsidRPr="00C52120"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  <w:t>OPĆI DIO</w:t>
      </w:r>
    </w:p>
    <w:p w14:paraId="15FD6AFD" w14:textId="77777777" w:rsidR="00081472" w:rsidRPr="00C52120" w:rsidRDefault="00081472" w:rsidP="00081472">
      <w:pPr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</w:p>
    <w:p w14:paraId="46C5C097" w14:textId="2B988870" w:rsidR="00B97443" w:rsidRPr="00081472" w:rsidRDefault="007A3E0F" w:rsidP="00081472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U </w:t>
      </w:r>
      <w:r w:rsidR="00511FDD" w:rsidRPr="00C52120">
        <w:rPr>
          <w:rFonts w:cs="Times New Roman"/>
          <w:color w:val="000000" w:themeColor="text1"/>
          <w:sz w:val="24"/>
          <w:szCs w:val="24"/>
          <w:lang w:val="hr-HR"/>
        </w:rPr>
        <w:t>razdoblju od 01.</w:t>
      </w:r>
      <w:r w:rsidR="000D3196" w:rsidRPr="00C52120">
        <w:rPr>
          <w:rFonts w:cs="Times New Roman"/>
          <w:color w:val="000000" w:themeColor="text1"/>
          <w:sz w:val="24"/>
          <w:szCs w:val="24"/>
          <w:lang w:val="hr-HR"/>
        </w:rPr>
        <w:t>01</w:t>
      </w:r>
      <w:r w:rsidR="00511FDD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08254E" w:rsidRPr="00C52120">
        <w:rPr>
          <w:rFonts w:cs="Times New Roman"/>
          <w:color w:val="000000" w:themeColor="text1"/>
          <w:sz w:val="24"/>
          <w:szCs w:val="24"/>
          <w:lang w:val="hr-HR"/>
        </w:rPr>
        <w:t>–</w:t>
      </w:r>
      <w:r w:rsidR="000D3196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511FDD" w:rsidRPr="00C52120"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="00FB3DAE">
        <w:rPr>
          <w:rFonts w:cs="Times New Roman"/>
          <w:color w:val="000000" w:themeColor="text1"/>
          <w:sz w:val="24"/>
          <w:szCs w:val="24"/>
          <w:lang w:val="hr-HR"/>
        </w:rPr>
        <w:t>0</w:t>
      </w:r>
      <w:r w:rsidR="0008254E"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="00FB3DAE">
        <w:rPr>
          <w:rFonts w:cs="Times New Roman"/>
          <w:color w:val="000000" w:themeColor="text1"/>
          <w:sz w:val="24"/>
          <w:szCs w:val="24"/>
          <w:lang w:val="hr-HR"/>
        </w:rPr>
        <w:t>06</w:t>
      </w:r>
      <w:r w:rsidR="000D3196"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="00511FDD"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FB3DAE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="00511FDD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godine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Krapinsko-zagorska županija </w:t>
      </w:r>
      <w:r w:rsidR="00552B33" w:rsidRPr="00C52120">
        <w:rPr>
          <w:rFonts w:cs="Times New Roman"/>
          <w:color w:val="000000" w:themeColor="text1"/>
          <w:sz w:val="24"/>
          <w:szCs w:val="24"/>
          <w:lang w:val="hr-HR"/>
        </w:rPr>
        <w:t>i njezini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proračunski </w:t>
      </w:r>
      <w:r w:rsidRPr="009A1062">
        <w:rPr>
          <w:rFonts w:cs="Times New Roman"/>
          <w:color w:val="000000" w:themeColor="text1"/>
          <w:sz w:val="24"/>
          <w:szCs w:val="24"/>
          <w:lang w:val="hr-HR"/>
        </w:rPr>
        <w:t>korisnici</w:t>
      </w:r>
      <w:r w:rsidR="00F13B9F" w:rsidRPr="009A1062">
        <w:rPr>
          <w:rStyle w:val="Referencafusnote"/>
          <w:rFonts w:cs="Times New Roman"/>
          <w:color w:val="000000" w:themeColor="text1"/>
          <w:sz w:val="24"/>
          <w:szCs w:val="24"/>
          <w:lang w:val="hr-HR"/>
        </w:rPr>
        <w:footnoteReference w:id="1"/>
      </w:r>
      <w:r w:rsidR="00552B33" w:rsidRPr="009A1062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154C83" w:rsidRPr="009A1062">
        <w:rPr>
          <w:rFonts w:cs="Times New Roman"/>
          <w:color w:val="000000" w:themeColor="text1"/>
          <w:sz w:val="24"/>
          <w:szCs w:val="24"/>
          <w:lang w:val="hr-HR"/>
        </w:rPr>
        <w:t xml:space="preserve">(županijski proračun + proračunski korisnici) </w:t>
      </w:r>
      <w:r w:rsidR="00552B33" w:rsidRPr="009A1062">
        <w:rPr>
          <w:rFonts w:cs="Times New Roman"/>
          <w:color w:val="000000" w:themeColor="text1"/>
          <w:sz w:val="24"/>
          <w:szCs w:val="24"/>
          <w:lang w:val="hr-HR"/>
        </w:rPr>
        <w:t>ostvarili su ukupne prihode</w:t>
      </w:r>
      <w:r w:rsidR="008B3B7B">
        <w:rPr>
          <w:rFonts w:cs="Times New Roman"/>
          <w:color w:val="000000" w:themeColor="text1"/>
          <w:sz w:val="24"/>
          <w:szCs w:val="24"/>
          <w:lang w:val="hr-HR"/>
        </w:rPr>
        <w:t xml:space="preserve"> i primitke</w:t>
      </w:r>
      <w:r w:rsidR="00552B33" w:rsidRPr="009A1062">
        <w:rPr>
          <w:rFonts w:cs="Times New Roman"/>
          <w:color w:val="000000" w:themeColor="text1"/>
          <w:sz w:val="24"/>
          <w:szCs w:val="24"/>
          <w:lang w:val="hr-HR"/>
        </w:rPr>
        <w:t xml:space="preserve"> u iznosu od</w:t>
      </w:r>
      <w:r w:rsidR="00956AB8">
        <w:rPr>
          <w:rFonts w:cs="Times New Roman"/>
          <w:color w:val="000000" w:themeColor="text1"/>
          <w:sz w:val="24"/>
          <w:szCs w:val="24"/>
          <w:lang w:val="hr-HR"/>
        </w:rPr>
        <w:t xml:space="preserve"> 94.191.997,66 </w:t>
      </w:r>
      <w:r w:rsidR="008940C2" w:rsidRPr="009A1062">
        <w:rPr>
          <w:rFonts w:cs="Times New Roman"/>
          <w:color w:val="000000" w:themeColor="text1"/>
          <w:sz w:val="24"/>
          <w:szCs w:val="24"/>
          <w:lang w:val="hr-HR"/>
        </w:rPr>
        <w:t>EUR</w:t>
      </w:r>
      <w:r w:rsidR="009A1062" w:rsidRPr="009A1062">
        <w:rPr>
          <w:rFonts w:cs="Times New Roman"/>
          <w:color w:val="000000" w:themeColor="text1"/>
          <w:sz w:val="24"/>
          <w:szCs w:val="24"/>
          <w:lang w:val="hr-HR"/>
        </w:rPr>
        <w:t xml:space="preserve">, </w:t>
      </w:r>
      <w:r w:rsidR="00956AB8">
        <w:rPr>
          <w:rFonts w:cs="Times New Roman"/>
          <w:color w:val="000000" w:themeColor="text1"/>
          <w:sz w:val="24"/>
          <w:szCs w:val="24"/>
          <w:lang w:val="hr-HR"/>
        </w:rPr>
        <w:t xml:space="preserve">što je manje za 28.962.062,88 EUR ili 24% manje u odnosu </w:t>
      </w:r>
      <w:r w:rsidR="00584A4F">
        <w:rPr>
          <w:rFonts w:cs="Times New Roman"/>
          <w:color w:val="000000" w:themeColor="text1"/>
          <w:sz w:val="24"/>
          <w:szCs w:val="24"/>
          <w:lang w:val="hr-HR"/>
        </w:rPr>
        <w:t xml:space="preserve">isto razdoblje u 2023. godini kada su isti iznosili 123.154.060,54 EUR. Planirani ukupni prihodi </w:t>
      </w:r>
      <w:r w:rsidR="00290ED9">
        <w:rPr>
          <w:rFonts w:cs="Times New Roman"/>
          <w:color w:val="000000" w:themeColor="text1"/>
          <w:sz w:val="24"/>
          <w:szCs w:val="24"/>
          <w:lang w:val="hr-HR"/>
        </w:rPr>
        <w:t>u 2024. godini iznose 199.587.430,42 EUR te navedena realizacija za razdoblje od 01.01. – 30.06.2024. godine predstavlja 47% godišnjeg plana.</w:t>
      </w:r>
      <w:r w:rsidR="00B97443">
        <w:rPr>
          <w:rFonts w:cs="Times New Roman"/>
          <w:color w:val="000000" w:themeColor="text1"/>
          <w:sz w:val="24"/>
          <w:szCs w:val="24"/>
          <w:lang w:val="hr-HR"/>
        </w:rPr>
        <w:t xml:space="preserve"> S druge strane, ukupni rashodi </w:t>
      </w:r>
      <w:r w:rsidR="008B3B7B">
        <w:rPr>
          <w:rFonts w:cs="Times New Roman"/>
          <w:color w:val="000000" w:themeColor="text1"/>
          <w:sz w:val="24"/>
          <w:szCs w:val="24"/>
          <w:lang w:val="hr-HR"/>
        </w:rPr>
        <w:t xml:space="preserve">i izdaci </w:t>
      </w:r>
      <w:r w:rsidR="00B97443">
        <w:rPr>
          <w:rFonts w:cs="Times New Roman"/>
          <w:color w:val="000000" w:themeColor="text1"/>
          <w:sz w:val="24"/>
          <w:szCs w:val="24"/>
          <w:lang w:val="hr-HR"/>
        </w:rPr>
        <w:t xml:space="preserve">u razdoblju od 01.01. – 30.06.2024. </w:t>
      </w:r>
      <w:r w:rsidR="00406A44">
        <w:rPr>
          <w:rFonts w:cs="Times New Roman"/>
          <w:color w:val="000000" w:themeColor="text1"/>
          <w:sz w:val="24"/>
          <w:szCs w:val="24"/>
          <w:lang w:val="hr-HR"/>
        </w:rPr>
        <w:t xml:space="preserve">godine </w:t>
      </w:r>
      <w:r w:rsidR="00B97443">
        <w:rPr>
          <w:rFonts w:cs="Times New Roman"/>
          <w:color w:val="000000" w:themeColor="text1"/>
          <w:sz w:val="24"/>
          <w:szCs w:val="24"/>
          <w:lang w:val="hr-HR"/>
        </w:rPr>
        <w:t xml:space="preserve">ostvareni su u iznosu </w:t>
      </w:r>
      <w:r w:rsidR="00B97443" w:rsidRPr="00406A44">
        <w:rPr>
          <w:rFonts w:cs="Times New Roman"/>
          <w:sz w:val="24"/>
          <w:szCs w:val="24"/>
          <w:lang w:val="hr-HR"/>
        </w:rPr>
        <w:t>od 85.</w:t>
      </w:r>
      <w:r w:rsidR="00856A7E" w:rsidRPr="00406A44">
        <w:rPr>
          <w:rFonts w:cs="Times New Roman"/>
          <w:sz w:val="24"/>
          <w:szCs w:val="24"/>
          <w:lang w:val="hr-HR"/>
        </w:rPr>
        <w:t>416.921,51</w:t>
      </w:r>
      <w:r w:rsidR="00B97443" w:rsidRPr="00406A44">
        <w:rPr>
          <w:rFonts w:cs="Times New Roman"/>
          <w:sz w:val="24"/>
          <w:szCs w:val="24"/>
          <w:lang w:val="hr-HR"/>
        </w:rPr>
        <w:t xml:space="preserve"> EUR </w:t>
      </w:r>
      <w:r w:rsidR="00B97443">
        <w:rPr>
          <w:rFonts w:cs="Times New Roman"/>
          <w:color w:val="000000" w:themeColor="text1"/>
          <w:sz w:val="24"/>
          <w:szCs w:val="24"/>
          <w:lang w:val="hr-HR"/>
        </w:rPr>
        <w:t xml:space="preserve">što je manje za </w:t>
      </w:r>
      <w:r w:rsidR="00B97443" w:rsidRPr="00406A44">
        <w:rPr>
          <w:rFonts w:cs="Times New Roman"/>
          <w:sz w:val="24"/>
          <w:szCs w:val="24"/>
          <w:lang w:val="hr-HR"/>
        </w:rPr>
        <w:t>35.</w:t>
      </w:r>
      <w:r w:rsidR="00856A7E" w:rsidRPr="00406A44">
        <w:rPr>
          <w:rFonts w:cs="Times New Roman"/>
          <w:sz w:val="24"/>
          <w:szCs w:val="24"/>
          <w:lang w:val="hr-HR"/>
        </w:rPr>
        <w:t>517.054,49</w:t>
      </w:r>
      <w:r w:rsidR="00B97443" w:rsidRPr="00406A44">
        <w:rPr>
          <w:rFonts w:cs="Times New Roman"/>
          <w:sz w:val="24"/>
          <w:szCs w:val="24"/>
          <w:lang w:val="hr-HR"/>
        </w:rPr>
        <w:t xml:space="preserve"> EUR ili 29% </w:t>
      </w:r>
      <w:r w:rsidR="00B97443">
        <w:rPr>
          <w:rFonts w:cs="Times New Roman"/>
          <w:color w:val="000000" w:themeColor="text1"/>
          <w:sz w:val="24"/>
          <w:szCs w:val="24"/>
          <w:lang w:val="hr-HR"/>
        </w:rPr>
        <w:t xml:space="preserve">manje u odnosu na isto razdoblje u 2023. godini kada su isti iznosili 120.933.976,00 EUR. Planirani ukupni rashodi u 2024. godini iznose 199.587.430,42 EUR te navedena realizacija za razdoblje od 01.01. – 30.06.2024. godine predstavlja </w:t>
      </w:r>
      <w:r w:rsidR="00B97443" w:rsidRPr="00406A44">
        <w:rPr>
          <w:rFonts w:cs="Times New Roman"/>
          <w:sz w:val="24"/>
          <w:szCs w:val="24"/>
          <w:lang w:val="hr-HR"/>
        </w:rPr>
        <w:t xml:space="preserve">43% </w:t>
      </w:r>
      <w:r w:rsidR="00B97443">
        <w:rPr>
          <w:rFonts w:cs="Times New Roman"/>
          <w:color w:val="000000" w:themeColor="text1"/>
          <w:sz w:val="24"/>
          <w:szCs w:val="24"/>
          <w:lang w:val="hr-HR"/>
        </w:rPr>
        <w:t xml:space="preserve">godišnjeg plana. </w:t>
      </w:r>
      <w:r w:rsidR="00081472">
        <w:rPr>
          <w:rFonts w:cs="Times New Roman"/>
          <w:sz w:val="24"/>
          <w:szCs w:val="24"/>
          <w:lang w:val="hr-HR"/>
        </w:rPr>
        <w:t xml:space="preserve">Za razdoblje od 01.01. – 30.06.2024. godine rezultat poslovanja (prihodi i primici – rashodi i izdaci + preneseni višak poslovanja iz prethodnih godina) iznosi višak prihoda poslovanja u iznosu od </w:t>
      </w:r>
      <w:r w:rsidR="00081472" w:rsidRPr="00406A44">
        <w:rPr>
          <w:rFonts w:cs="Times New Roman"/>
          <w:sz w:val="24"/>
          <w:szCs w:val="24"/>
          <w:lang w:val="hr-HR"/>
        </w:rPr>
        <w:t>8.</w:t>
      </w:r>
      <w:r w:rsidR="00856A7E" w:rsidRPr="00406A44">
        <w:rPr>
          <w:rFonts w:cs="Times New Roman"/>
          <w:sz w:val="24"/>
          <w:szCs w:val="24"/>
          <w:lang w:val="hr-HR"/>
        </w:rPr>
        <w:t>775.076,25</w:t>
      </w:r>
      <w:r w:rsidR="00081472" w:rsidRPr="00406A44">
        <w:rPr>
          <w:rFonts w:cs="Times New Roman"/>
          <w:sz w:val="24"/>
          <w:szCs w:val="24"/>
          <w:lang w:val="hr-HR"/>
        </w:rPr>
        <w:t xml:space="preserve"> EUR. </w:t>
      </w:r>
      <w:r w:rsidR="0031190E" w:rsidRPr="009A1062">
        <w:rPr>
          <w:rFonts w:cs="Times New Roman"/>
          <w:sz w:val="24"/>
          <w:szCs w:val="24"/>
          <w:lang w:val="hr-HR"/>
        </w:rPr>
        <w:t>U razdoblju od 01.01. – 3</w:t>
      </w:r>
      <w:r w:rsidR="00B97443">
        <w:rPr>
          <w:rFonts w:cs="Times New Roman"/>
          <w:sz w:val="24"/>
          <w:szCs w:val="24"/>
          <w:lang w:val="hr-HR"/>
        </w:rPr>
        <w:t>0</w:t>
      </w:r>
      <w:r w:rsidR="0031190E" w:rsidRPr="009A1062">
        <w:rPr>
          <w:rFonts w:cs="Times New Roman"/>
          <w:sz w:val="24"/>
          <w:szCs w:val="24"/>
          <w:lang w:val="hr-HR"/>
        </w:rPr>
        <w:t>.</w:t>
      </w:r>
      <w:r w:rsidR="00B97443">
        <w:rPr>
          <w:rFonts w:cs="Times New Roman"/>
          <w:sz w:val="24"/>
          <w:szCs w:val="24"/>
          <w:lang w:val="hr-HR"/>
        </w:rPr>
        <w:t>06</w:t>
      </w:r>
      <w:r w:rsidR="0031190E" w:rsidRPr="009A1062">
        <w:rPr>
          <w:rFonts w:cs="Times New Roman"/>
          <w:sz w:val="24"/>
          <w:szCs w:val="24"/>
          <w:lang w:val="hr-HR"/>
        </w:rPr>
        <w:t>.202</w:t>
      </w:r>
      <w:r w:rsidR="00B97443">
        <w:rPr>
          <w:rFonts w:cs="Times New Roman"/>
          <w:sz w:val="24"/>
          <w:szCs w:val="24"/>
          <w:lang w:val="hr-HR"/>
        </w:rPr>
        <w:t>4</w:t>
      </w:r>
      <w:r w:rsidR="0031190E" w:rsidRPr="009A1062">
        <w:rPr>
          <w:rFonts w:cs="Times New Roman"/>
          <w:sz w:val="24"/>
          <w:szCs w:val="24"/>
          <w:lang w:val="hr-HR"/>
        </w:rPr>
        <w:t xml:space="preserve">. godine Krapinsko-zagorska županija (županijski proračun) ostvarila je </w:t>
      </w:r>
      <w:r w:rsidR="00B97443">
        <w:rPr>
          <w:rFonts w:cs="Times New Roman"/>
          <w:sz w:val="24"/>
          <w:szCs w:val="24"/>
          <w:lang w:val="hr-HR"/>
        </w:rPr>
        <w:t>ukupn</w:t>
      </w:r>
      <w:r w:rsidR="008B3B7B">
        <w:rPr>
          <w:rFonts w:cs="Times New Roman"/>
          <w:sz w:val="24"/>
          <w:szCs w:val="24"/>
          <w:lang w:val="hr-HR"/>
        </w:rPr>
        <w:t>e</w:t>
      </w:r>
      <w:r w:rsidR="00B97443">
        <w:rPr>
          <w:rFonts w:cs="Times New Roman"/>
          <w:sz w:val="24"/>
          <w:szCs w:val="24"/>
          <w:lang w:val="hr-HR"/>
        </w:rPr>
        <w:t xml:space="preserve"> prihod</w:t>
      </w:r>
      <w:r w:rsidR="008B3B7B">
        <w:rPr>
          <w:rFonts w:cs="Times New Roman"/>
          <w:sz w:val="24"/>
          <w:szCs w:val="24"/>
          <w:lang w:val="hr-HR"/>
        </w:rPr>
        <w:t>e i primitke</w:t>
      </w:r>
      <w:r w:rsidR="0031190E" w:rsidRPr="009A1062">
        <w:rPr>
          <w:rFonts w:cs="Times New Roman"/>
          <w:sz w:val="24"/>
          <w:szCs w:val="24"/>
          <w:lang w:val="hr-HR"/>
        </w:rPr>
        <w:t xml:space="preserve"> u iznosu od </w:t>
      </w:r>
      <w:r w:rsidR="00B97443">
        <w:rPr>
          <w:rFonts w:cs="Times New Roman"/>
          <w:sz w:val="24"/>
          <w:szCs w:val="24"/>
          <w:lang w:val="hr-HR"/>
        </w:rPr>
        <w:t>25.629.829,34</w:t>
      </w:r>
      <w:r w:rsidR="0031190E" w:rsidRPr="009A1062">
        <w:rPr>
          <w:rFonts w:cs="Times New Roman"/>
          <w:sz w:val="24"/>
          <w:szCs w:val="24"/>
          <w:lang w:val="hr-HR"/>
        </w:rPr>
        <w:t xml:space="preserve"> EUR </w:t>
      </w:r>
      <w:r w:rsidR="00841EDD">
        <w:rPr>
          <w:rFonts w:cs="Times New Roman"/>
          <w:sz w:val="24"/>
          <w:szCs w:val="24"/>
          <w:lang w:val="hr-HR"/>
        </w:rPr>
        <w:t>što je manje za 32.084.4</w:t>
      </w:r>
      <w:r w:rsidR="00F830A4">
        <w:rPr>
          <w:rFonts w:cs="Times New Roman"/>
          <w:sz w:val="24"/>
          <w:szCs w:val="24"/>
          <w:lang w:val="hr-HR"/>
        </w:rPr>
        <w:t>3</w:t>
      </w:r>
      <w:r w:rsidR="00841EDD">
        <w:rPr>
          <w:rFonts w:cs="Times New Roman"/>
          <w:sz w:val="24"/>
          <w:szCs w:val="24"/>
          <w:lang w:val="hr-HR"/>
        </w:rPr>
        <w:t xml:space="preserve">1,04 EUR ili 56% manje u odnosu na isto razdoblje u 2023. godini kada su isti iznosili 57.714.260,38 EUR. Planirani </w:t>
      </w:r>
      <w:r w:rsidR="006F5112">
        <w:rPr>
          <w:rFonts w:cs="Times New Roman"/>
          <w:sz w:val="24"/>
          <w:szCs w:val="24"/>
          <w:lang w:val="hr-HR"/>
        </w:rPr>
        <w:t xml:space="preserve">ukupni prihodi u 2024. godini iznose </w:t>
      </w:r>
      <w:r w:rsidR="004F77C2">
        <w:rPr>
          <w:rFonts w:cs="Times New Roman"/>
          <w:sz w:val="24"/>
          <w:szCs w:val="24"/>
          <w:lang w:val="hr-HR"/>
        </w:rPr>
        <w:t>63.987.950,13 EUR te navedena realizacija za razdoblje od 01.01. – 30.06.2024. godine predstavlja 40% godišnjeg plana. S druge strane, ukupni rashodi</w:t>
      </w:r>
      <w:r w:rsidR="008B3B7B">
        <w:rPr>
          <w:rFonts w:cs="Times New Roman"/>
          <w:sz w:val="24"/>
          <w:szCs w:val="24"/>
          <w:lang w:val="hr-HR"/>
        </w:rPr>
        <w:t xml:space="preserve"> i izdaci</w:t>
      </w:r>
      <w:r w:rsidR="004F77C2">
        <w:rPr>
          <w:rFonts w:cs="Times New Roman"/>
          <w:sz w:val="24"/>
          <w:szCs w:val="24"/>
          <w:lang w:val="hr-HR"/>
        </w:rPr>
        <w:t xml:space="preserve"> u razdoblju od 01.01. – 30.06.2024. </w:t>
      </w:r>
      <w:r w:rsidR="004F77C2" w:rsidRPr="00856A7E">
        <w:rPr>
          <w:rFonts w:cs="Times New Roman"/>
          <w:sz w:val="24"/>
          <w:szCs w:val="24"/>
          <w:lang w:val="hr-HR"/>
        </w:rPr>
        <w:t xml:space="preserve">godine iznose 21.449.429,11 EUR što je manje za </w:t>
      </w:r>
      <w:r w:rsidR="007744EC" w:rsidRPr="00856A7E">
        <w:rPr>
          <w:rFonts w:cs="Times New Roman"/>
          <w:sz w:val="24"/>
          <w:szCs w:val="24"/>
          <w:lang w:val="hr-HR"/>
        </w:rPr>
        <w:t xml:space="preserve">31.410.265,85 EUR ili 59% manje u odnosu na isto razdoblje u 2023. godini kada su isti iznosili 52.859.694,96 EUR. Planirani ukupni rashodi u </w:t>
      </w:r>
      <w:r w:rsidR="007744EC">
        <w:rPr>
          <w:rFonts w:cs="Times New Roman"/>
          <w:sz w:val="24"/>
          <w:szCs w:val="24"/>
          <w:lang w:val="hr-HR"/>
        </w:rPr>
        <w:t xml:space="preserve">2024. godini iznose 63.987.950,13 EUR  te navedena realizacija za razdoblje od 01.01. – 30.06.2024. godine predstavlja </w:t>
      </w:r>
      <w:r w:rsidR="004A6E99">
        <w:rPr>
          <w:rFonts w:cs="Times New Roman"/>
          <w:sz w:val="24"/>
          <w:szCs w:val="24"/>
          <w:lang w:val="hr-HR"/>
        </w:rPr>
        <w:t>34</w:t>
      </w:r>
      <w:r w:rsidR="007744EC">
        <w:rPr>
          <w:rFonts w:cs="Times New Roman"/>
          <w:sz w:val="24"/>
          <w:szCs w:val="24"/>
          <w:lang w:val="hr-HR"/>
        </w:rPr>
        <w:t>% godišnjeg plana.</w:t>
      </w:r>
      <w:r w:rsidR="00081472">
        <w:rPr>
          <w:rFonts w:cs="Times New Roman"/>
          <w:sz w:val="24"/>
          <w:szCs w:val="24"/>
          <w:lang w:val="hr-HR"/>
        </w:rPr>
        <w:t xml:space="preserve"> U razdoblju od 01.01. – 30.06.2024. godina ostvaren je višak prihoda i primitaka nad rashodima i izdacima u iznosu od 4.180.400,23 EUR. </w:t>
      </w:r>
    </w:p>
    <w:p w14:paraId="0E10D01B" w14:textId="77777777" w:rsidR="008B3B7B" w:rsidRDefault="00CE62FA" w:rsidP="008B3B7B">
      <w:pPr>
        <w:tabs>
          <w:tab w:val="left" w:pos="820"/>
        </w:tabs>
        <w:spacing w:before="120"/>
        <w:ind w:right="-23"/>
        <w:jc w:val="both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>Sukladno financijskim izvještajima Krapinsko-zagorske županije, u</w:t>
      </w:r>
      <w:r w:rsidR="009E436E">
        <w:rPr>
          <w:color w:val="000000" w:themeColor="text1"/>
          <w:sz w:val="24"/>
          <w:szCs w:val="24"/>
          <w:lang w:val="hr-HR"/>
        </w:rPr>
        <w:t xml:space="preserve">kupni preneseni višak iz prethodnih godina na </w:t>
      </w:r>
      <w:r w:rsidR="009E436E" w:rsidRPr="00092DE8">
        <w:rPr>
          <w:color w:val="000000" w:themeColor="text1"/>
          <w:sz w:val="24"/>
          <w:szCs w:val="24"/>
          <w:lang w:val="hr-HR"/>
        </w:rPr>
        <w:t>dan 3</w:t>
      </w:r>
      <w:r w:rsidR="00B10E45">
        <w:rPr>
          <w:color w:val="000000" w:themeColor="text1"/>
          <w:sz w:val="24"/>
          <w:szCs w:val="24"/>
          <w:lang w:val="hr-HR"/>
        </w:rPr>
        <w:t>0</w:t>
      </w:r>
      <w:r w:rsidR="009E436E" w:rsidRPr="00092DE8">
        <w:rPr>
          <w:color w:val="000000" w:themeColor="text1"/>
          <w:sz w:val="24"/>
          <w:szCs w:val="24"/>
          <w:lang w:val="hr-HR"/>
        </w:rPr>
        <w:t>.</w:t>
      </w:r>
      <w:r w:rsidR="00B10E45">
        <w:rPr>
          <w:color w:val="000000" w:themeColor="text1"/>
          <w:sz w:val="24"/>
          <w:szCs w:val="24"/>
          <w:lang w:val="hr-HR"/>
        </w:rPr>
        <w:t>06</w:t>
      </w:r>
      <w:r w:rsidR="009E436E" w:rsidRPr="00092DE8">
        <w:rPr>
          <w:color w:val="000000" w:themeColor="text1"/>
          <w:sz w:val="24"/>
          <w:szCs w:val="24"/>
          <w:lang w:val="hr-HR"/>
        </w:rPr>
        <w:t>.202</w:t>
      </w:r>
      <w:r w:rsidR="00B10E45">
        <w:rPr>
          <w:color w:val="000000" w:themeColor="text1"/>
          <w:sz w:val="24"/>
          <w:szCs w:val="24"/>
          <w:lang w:val="hr-HR"/>
        </w:rPr>
        <w:t>4</w:t>
      </w:r>
      <w:r w:rsidR="009E436E" w:rsidRPr="00092DE8">
        <w:rPr>
          <w:color w:val="000000" w:themeColor="text1"/>
          <w:sz w:val="24"/>
          <w:szCs w:val="24"/>
          <w:lang w:val="hr-HR"/>
        </w:rPr>
        <w:t xml:space="preserve">. godine </w:t>
      </w:r>
      <w:r w:rsidR="009E436E">
        <w:rPr>
          <w:color w:val="000000" w:themeColor="text1"/>
          <w:sz w:val="24"/>
          <w:szCs w:val="24"/>
          <w:lang w:val="hr-HR"/>
        </w:rPr>
        <w:t xml:space="preserve">iznosi </w:t>
      </w:r>
      <w:r w:rsidR="00B10E45">
        <w:rPr>
          <w:color w:val="000000" w:themeColor="text1"/>
          <w:sz w:val="24"/>
          <w:szCs w:val="24"/>
          <w:lang w:val="hr-HR"/>
        </w:rPr>
        <w:t>7.575.799,58</w:t>
      </w:r>
      <w:r w:rsidR="009E436E">
        <w:rPr>
          <w:color w:val="000000" w:themeColor="text1"/>
          <w:sz w:val="24"/>
          <w:szCs w:val="24"/>
          <w:lang w:val="hr-HR"/>
        </w:rPr>
        <w:t xml:space="preserve"> EUR što čini ukupni raspoloživi višak za naredno razdoblje u iznosu</w:t>
      </w:r>
      <w:r w:rsidR="00B10E45">
        <w:rPr>
          <w:color w:val="000000" w:themeColor="text1"/>
          <w:sz w:val="24"/>
          <w:szCs w:val="24"/>
          <w:lang w:val="hr-HR"/>
        </w:rPr>
        <w:t xml:space="preserve"> 11.756.199,81</w:t>
      </w:r>
      <w:r w:rsidR="009E436E">
        <w:rPr>
          <w:color w:val="000000" w:themeColor="text1"/>
          <w:sz w:val="24"/>
          <w:szCs w:val="24"/>
          <w:lang w:val="hr-HR"/>
        </w:rPr>
        <w:t xml:space="preserve"> EUR.</w:t>
      </w:r>
    </w:p>
    <w:p w14:paraId="1459C424" w14:textId="360C4758" w:rsidR="00042CD3" w:rsidRPr="008B3B7B" w:rsidRDefault="0067495B" w:rsidP="008B3B7B">
      <w:pPr>
        <w:tabs>
          <w:tab w:val="left" w:pos="820"/>
        </w:tabs>
        <w:spacing w:before="120"/>
        <w:ind w:right="-23"/>
        <w:jc w:val="both"/>
        <w:rPr>
          <w:rFonts w:cs="Times New Roman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lastRenderedPageBreak/>
        <w:t>Prihodi poslovanja</w:t>
      </w:r>
      <w:r w:rsidR="000F4CE7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(konsolidirani proračun)</w:t>
      </w:r>
    </w:p>
    <w:p w14:paraId="77758D12" w14:textId="77777777" w:rsidR="005808C3" w:rsidRPr="00C52120" w:rsidRDefault="005808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22E36AF" w14:textId="7ABAC8EE" w:rsidR="00CF169A" w:rsidRPr="00C52120" w:rsidRDefault="00CF169A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U razdoblju od 01.01 - 3</w:t>
      </w:r>
      <w:r w:rsidR="008B3B7B">
        <w:rPr>
          <w:rFonts w:cs="Times New Roman"/>
          <w:color w:val="000000" w:themeColor="text1"/>
          <w:sz w:val="24"/>
          <w:szCs w:val="24"/>
          <w:lang w:val="hr-HR"/>
        </w:rPr>
        <w:t>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="008B3B7B">
        <w:rPr>
          <w:rFonts w:cs="Times New Roman"/>
          <w:color w:val="000000" w:themeColor="text1"/>
          <w:sz w:val="24"/>
          <w:szCs w:val="24"/>
          <w:lang w:val="hr-HR"/>
        </w:rPr>
        <w:t>06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.202</w:t>
      </w:r>
      <w:r w:rsidR="008B3B7B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godine Krapinsko-zagorska županija i njezini proračunski korisnici</w:t>
      </w:r>
      <w:r w:rsidRPr="00C52120">
        <w:rPr>
          <w:rStyle w:val="Referencafusnote"/>
          <w:rFonts w:cs="Times New Roman"/>
          <w:color w:val="000000" w:themeColor="text1"/>
          <w:sz w:val="24"/>
          <w:szCs w:val="24"/>
          <w:lang w:val="hr-HR"/>
        </w:rPr>
        <w:footnoteReference w:id="2"/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(županijski proračun + proračunski korisnici) ostvarili su </w:t>
      </w:r>
      <w:r w:rsidR="00AC76C6">
        <w:rPr>
          <w:rFonts w:cs="Times New Roman"/>
          <w:color w:val="000000" w:themeColor="text1"/>
          <w:sz w:val="24"/>
          <w:szCs w:val="24"/>
          <w:lang w:val="hr-HR"/>
        </w:rPr>
        <w:t>prihode poslovanja u iznosu od 92.349.462,05 EUR i prihode od prodaje nefinancijske imovine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u iznosu od</w:t>
      </w:r>
      <w:r w:rsidR="00AC76C6">
        <w:rPr>
          <w:rFonts w:cs="Times New Roman"/>
          <w:color w:val="000000" w:themeColor="text1"/>
          <w:sz w:val="24"/>
          <w:szCs w:val="24"/>
          <w:lang w:val="hr-HR"/>
        </w:rPr>
        <w:t xml:space="preserve"> 9.784,51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(Tablica 1.)</w:t>
      </w:r>
      <w:r w:rsidR="00AC76C6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08C24B66" w14:textId="77777777" w:rsidR="005808C3" w:rsidRPr="00C52120" w:rsidRDefault="005808C3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C1E7EB9" w14:textId="73B1D842" w:rsidR="00E7770D" w:rsidRDefault="00CF169A" w:rsidP="006D3AE7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Tablica 1. Struktura izvršenja prihoda (konsolidirani Proračun)</w:t>
      </w:r>
    </w:p>
    <w:p w14:paraId="47187099" w14:textId="77777777" w:rsidR="00B848CD" w:rsidRPr="00C52120" w:rsidRDefault="00B848CD" w:rsidP="006D3AE7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00B9E7D" w14:textId="77777777" w:rsidR="005808C3" w:rsidRPr="0019557E" w:rsidRDefault="005808C3" w:rsidP="00AC76C6">
      <w:pPr>
        <w:pStyle w:val="Odlomakpopisa"/>
        <w:numPr>
          <w:ilvl w:val="0"/>
          <w:numId w:val="38"/>
        </w:numPr>
        <w:ind w:left="7513"/>
        <w:jc w:val="both"/>
        <w:rPr>
          <w:rFonts w:cs="Times New Roman"/>
          <w:b/>
          <w:bCs/>
          <w:color w:val="000000" w:themeColor="text1"/>
          <w:lang w:val="hr-HR"/>
        </w:rPr>
      </w:pPr>
      <w:r w:rsidRPr="0019557E">
        <w:rPr>
          <w:rFonts w:cs="Times New Roman"/>
          <w:color w:val="000000" w:themeColor="text1"/>
          <w:lang w:val="hr-HR"/>
        </w:rPr>
        <w:t>iznosi u €</w:t>
      </w:r>
    </w:p>
    <w:p w14:paraId="1F06A7A0" w14:textId="5D597692" w:rsidR="00F82EF5" w:rsidRDefault="00F82EF5" w:rsidP="00C52120">
      <w:pPr>
        <w:jc w:val="both"/>
        <w:rPr>
          <w:rFonts w:asciiTheme="minorHAnsi" w:eastAsiaTheme="minorHAnsi" w:hAnsiTheme="minorHAnsi" w:cstheme="minorBidi"/>
          <w:sz w:val="22"/>
          <w:szCs w:val="22"/>
          <w:lang w:val="hr-HR" w:eastAsia="en-US"/>
        </w:rPr>
      </w:pPr>
      <w:r>
        <w:rPr>
          <w:lang w:val="hr-HR"/>
        </w:rPr>
        <w:fldChar w:fldCharType="begin"/>
      </w:r>
      <w:r>
        <w:rPr>
          <w:lang w:val="hr-HR"/>
        </w:rPr>
        <w:instrText xml:space="preserve"> LINK Excel.Sheet.8 "C:\\Users\\IvanaP\\Desktop\\IZVRŠENJA PRORAČUNA\\POLUGODIŠNJE IZVRŠENJE 2024\\RADNO\\ANALIZA PRIHODA.xls" "Prihodi i rashodi prema ekonoms!R6C1:R41C20" \a \f 4 \h  \* MERGEFORMAT </w:instrText>
      </w:r>
      <w:r>
        <w:rPr>
          <w:lang w:val="hr-HR"/>
        </w:rPr>
        <w:fldChar w:fldCharType="separate"/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2972"/>
        <w:gridCol w:w="1617"/>
        <w:gridCol w:w="1526"/>
        <w:gridCol w:w="1526"/>
        <w:gridCol w:w="1421"/>
      </w:tblGrid>
      <w:tr w:rsidR="00F82EF5" w:rsidRPr="00F82EF5" w14:paraId="49C0B529" w14:textId="77777777" w:rsidTr="00F82EF5">
        <w:trPr>
          <w:trHeight w:val="5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706D8E6" w14:textId="70B9B2A0" w:rsidR="00F82EF5" w:rsidRPr="00F82EF5" w:rsidRDefault="00F82EF5" w:rsidP="00F82EF5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Brojčana oznaka i naziv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BBAECC" w14:textId="77777777" w:rsidR="00F82EF5" w:rsidRPr="00F82EF5" w:rsidRDefault="00F82EF5" w:rsidP="00F82EF5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Izvršenje       2023.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2D8746" w14:textId="77777777" w:rsidR="00F82EF5" w:rsidRPr="00F82EF5" w:rsidRDefault="00F82EF5" w:rsidP="00F82EF5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Izvorni plan               2024.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8AB66FD" w14:textId="77777777" w:rsidR="00F82EF5" w:rsidRPr="00F82EF5" w:rsidRDefault="00F82EF5" w:rsidP="00F82EF5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Tekući plan                2024.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29ADA97" w14:textId="77777777" w:rsidR="00F82EF5" w:rsidRPr="00F82EF5" w:rsidRDefault="00F82EF5" w:rsidP="00F82EF5">
            <w:pPr>
              <w:suppressAutoHyphens w:val="0"/>
              <w:jc w:val="center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Izvršenje            2024.</w:t>
            </w:r>
          </w:p>
        </w:tc>
      </w:tr>
      <w:tr w:rsidR="00F82EF5" w:rsidRPr="00F82EF5" w14:paraId="153C5402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CBBA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 xml:space="preserve">6 Prihodi poslovanja            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4C46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120.011.532,64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11F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198.620.898,44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0654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198.620.898,44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A24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92.349.462,05</w:t>
            </w:r>
          </w:p>
        </w:tc>
      </w:tr>
      <w:tr w:rsidR="00F82EF5" w:rsidRPr="00F82EF5" w14:paraId="49515FDF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93A3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 xml:space="preserve">61 Prihodi od poreza             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B5E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6.755.490,39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F32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16.303.250,00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FA62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16.303.250,00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772A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9.359.404,72</w:t>
            </w:r>
          </w:p>
        </w:tc>
      </w:tr>
      <w:tr w:rsidR="00F82EF5" w:rsidRPr="00F82EF5" w14:paraId="5A987A39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D124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611 Porez i prirez na dohodak     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37D4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6.187.439,16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B37B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4C0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7F6E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8.701.316,67</w:t>
            </w:r>
          </w:p>
        </w:tc>
      </w:tr>
      <w:tr w:rsidR="00F82EF5" w:rsidRPr="00F82EF5" w14:paraId="27E8A734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5BFB0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613 Porezi na imovinu             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79AC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6.221,33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8B375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9651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74E0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37.582,29</w:t>
            </w:r>
          </w:p>
        </w:tc>
      </w:tr>
      <w:tr w:rsidR="00F82EF5" w:rsidRPr="00F82EF5" w14:paraId="4B311A5E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32EC3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614 Porezi na robu i usluge       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5C38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561.829,90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2A35CF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F0908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A790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620.505,76</w:t>
            </w:r>
          </w:p>
        </w:tc>
      </w:tr>
      <w:tr w:rsidR="00F82EF5" w:rsidRPr="00F82EF5" w14:paraId="5F73C9D7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D5D7E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63 Pomoći iz inozemstva i od subjekata unutar općeg proračuna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8058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78.575.633,11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7414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120.953.862,32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0160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120.953.862,32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9F1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55.816.021,57</w:t>
            </w:r>
          </w:p>
        </w:tc>
      </w:tr>
      <w:tr w:rsidR="00F82EF5" w:rsidRPr="00F82EF5" w14:paraId="5A4BE4E1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320AF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632 Pomoći od međunarodnih organizacija te institucija i tijela EU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C2C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112.156,78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00A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78B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C63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530.483,50</w:t>
            </w:r>
          </w:p>
        </w:tc>
      </w:tr>
      <w:tr w:rsidR="00F82EF5" w:rsidRPr="00F82EF5" w14:paraId="0A902F77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79F6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633 Pomoći proračunu iz drugih proračuna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8D42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1.925.657,93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145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0EB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7CC4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4.024.899,11</w:t>
            </w:r>
          </w:p>
        </w:tc>
      </w:tr>
      <w:tr w:rsidR="00F82EF5" w:rsidRPr="00F82EF5" w14:paraId="176469B6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ADEA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634 Pomoći od izvanproračunskih korisnika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C100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872.108,03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F26A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CF69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AF35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615.371,74</w:t>
            </w:r>
          </w:p>
        </w:tc>
      </w:tr>
      <w:tr w:rsidR="00F82EF5" w:rsidRPr="00F82EF5" w14:paraId="478D0CF7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1C59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635 Pomoći izravnanja za decentralizirane funkcije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42C5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3.669.303,36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6180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457E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AC05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3.217.156,90</w:t>
            </w:r>
          </w:p>
        </w:tc>
      </w:tr>
      <w:tr w:rsidR="00F82EF5" w:rsidRPr="00F82EF5" w14:paraId="251393BD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2EB5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636 Pomoći proračunskim korisnicima iz proračuna koji im nije nadležan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9A7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22.828.568,78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905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FE0E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106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30.884.076,37</w:t>
            </w:r>
          </w:p>
        </w:tc>
      </w:tr>
      <w:tr w:rsidR="00F82EF5" w:rsidRPr="00F82EF5" w14:paraId="1773DCA7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711B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638 Pomoći temeljem prijenosa EU sredstava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0288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48.874.931,85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00A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2FE6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7DB8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9.814.164,41</w:t>
            </w:r>
          </w:p>
        </w:tc>
      </w:tr>
      <w:tr w:rsidR="00F82EF5" w:rsidRPr="00F82EF5" w14:paraId="4235E4B3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C038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639 Prijenosi između proračunskih korisnika istog proračuna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FE1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292.906,38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42E0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68E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9A5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6.729.869,54</w:t>
            </w:r>
          </w:p>
        </w:tc>
      </w:tr>
      <w:tr w:rsidR="00F82EF5" w:rsidRPr="00F82EF5" w14:paraId="2964D01C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879D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 xml:space="preserve">64 Prihodi od imovine            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4AAE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89.172,83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DB56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571.739,69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6230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571.739,69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8D26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116.513,65</w:t>
            </w:r>
          </w:p>
        </w:tc>
      </w:tr>
      <w:tr w:rsidR="00F82EF5" w:rsidRPr="00F82EF5" w14:paraId="4B9023FE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8BD4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641 Prihodi od financijske imovine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0CB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9.572,57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E9D9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F3D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2A7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17.917,19</w:t>
            </w:r>
          </w:p>
        </w:tc>
      </w:tr>
      <w:tr w:rsidR="00F82EF5" w:rsidRPr="00F82EF5" w14:paraId="748762BC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932D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642 Prihodi od nefinancijske imovine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164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77.878,88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FE5A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9FC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9FE2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95.368,36</w:t>
            </w:r>
          </w:p>
        </w:tc>
      </w:tr>
      <w:tr w:rsidR="00F82EF5" w:rsidRPr="00F82EF5" w14:paraId="479C1F21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CB00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643 Prihodi od kamata na dane zajmove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667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12,46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98AF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5228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A79E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1.399,17</w:t>
            </w:r>
          </w:p>
        </w:tc>
      </w:tr>
      <w:tr w:rsidR="00F82EF5" w:rsidRPr="00F82EF5" w14:paraId="2EEB18E4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320CF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644 Prihodi od kamata na dane zajmove po protestiranim jamstvima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8DA6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1.708,92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FB16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566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9E55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1.828,93</w:t>
            </w:r>
          </w:p>
        </w:tc>
      </w:tr>
      <w:tr w:rsidR="00F82EF5" w:rsidRPr="00F82EF5" w14:paraId="602D704A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6BFE4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 xml:space="preserve">65 Prihodi od upravnih i administrativnih pristojbi, pristojbi po posebnim propisima i naknada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583B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4.039.284,75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B770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5.581.297,43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FBA8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5.581.297,43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502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3.150.195,49</w:t>
            </w:r>
          </w:p>
        </w:tc>
      </w:tr>
      <w:tr w:rsidR="00F82EF5" w:rsidRPr="00F82EF5" w14:paraId="1F6781B6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AB96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lastRenderedPageBreak/>
              <w:t xml:space="preserve">651 Upravne i administrativne pristojbe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782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83.400,52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4D4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549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F13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110.554,80</w:t>
            </w:r>
          </w:p>
        </w:tc>
      </w:tr>
      <w:tr w:rsidR="00F82EF5" w:rsidRPr="00F82EF5" w14:paraId="3F38CB00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E0C8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652 Prihodi po posebnim propisima 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454E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3.955.884,23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8359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C826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12F9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3.039.640,69</w:t>
            </w:r>
          </w:p>
        </w:tc>
      </w:tr>
      <w:tr w:rsidR="00F82EF5" w:rsidRPr="00F82EF5" w14:paraId="3BFDFB9C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921A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 xml:space="preserve">66 Prihodi od prodaje proizvoda i robe te pruženih usluga i prihodi od donacija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8D6A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3.951.694,68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0E85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7.832.189,00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0904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7.832.189,00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AC4F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3.592.512,95</w:t>
            </w:r>
          </w:p>
        </w:tc>
      </w:tr>
      <w:tr w:rsidR="00F82EF5" w:rsidRPr="00F82EF5" w14:paraId="33995CDD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7042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661 Prihodi od prodaje proizvoda i robe te pruženih usluga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4C9F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3.471.147,81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55E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D569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DED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3.515.231,03</w:t>
            </w:r>
          </w:p>
        </w:tc>
      </w:tr>
      <w:tr w:rsidR="00F82EF5" w:rsidRPr="00F82EF5" w14:paraId="6953B2D6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C53F1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663 Donacije od pravnih i fizičkih osoba izvan općeg proračuna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0D3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480.546,87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719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846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351F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77.281,92</w:t>
            </w:r>
          </w:p>
        </w:tc>
      </w:tr>
      <w:tr w:rsidR="00F82EF5" w:rsidRPr="00F82EF5" w14:paraId="5B857956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0AE02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67 Prihodi iz nadležnog proračuna i od HZZO-a temeljem ugovornih obveza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5CA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26.577.744,41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D839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47.353.230,00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B1B0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47.353.230,00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828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20.285.946,82</w:t>
            </w:r>
          </w:p>
        </w:tc>
      </w:tr>
      <w:tr w:rsidR="00F82EF5" w:rsidRPr="00F82EF5" w14:paraId="491BD0E9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CB66E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673 Prihodi od HZZO-a na temelju ugovornih obveza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59C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26.577.744,41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DE05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49D9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D01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20.285.946,82</w:t>
            </w:r>
          </w:p>
        </w:tc>
      </w:tr>
      <w:tr w:rsidR="00F82EF5" w:rsidRPr="00F82EF5" w14:paraId="1F10A196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5575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 xml:space="preserve">68 Kazne, upravne mjere i ostali prihodi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490A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22.512,47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CED0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25.330,00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D4A8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25.330,00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1BBB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28.866,85</w:t>
            </w:r>
          </w:p>
        </w:tc>
      </w:tr>
      <w:tr w:rsidR="00F82EF5" w:rsidRPr="00F82EF5" w14:paraId="390EDE8C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CA5D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681 Kazne i upravne mjere         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279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31C9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9766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2AC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602,07</w:t>
            </w:r>
          </w:p>
        </w:tc>
      </w:tr>
      <w:tr w:rsidR="00F82EF5" w:rsidRPr="00F82EF5" w14:paraId="2E91C971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AED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683 Ostali prihodi                          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964F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22.512,47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481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69B4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05F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28.264,78</w:t>
            </w:r>
          </w:p>
        </w:tc>
      </w:tr>
      <w:tr w:rsidR="00F82EF5" w:rsidRPr="00F82EF5" w14:paraId="31F75C2D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B431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 xml:space="preserve">7 Prihodi od prodaje nefinancijske imovine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81D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36.195,63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A865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59.250,00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EB81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59.250,00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924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9.784,51</w:t>
            </w:r>
          </w:p>
        </w:tc>
      </w:tr>
      <w:tr w:rsidR="00F82EF5" w:rsidRPr="00F82EF5" w14:paraId="62A5DDC2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7EE87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 xml:space="preserve">71 Prihodi od prodaje neproizvedene dugotrajne imovine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BC7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32.149,40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BC3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49.200,00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25CE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49.200,00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522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 </w:t>
            </w:r>
          </w:p>
        </w:tc>
      </w:tr>
      <w:tr w:rsidR="00F82EF5" w:rsidRPr="00F82EF5" w14:paraId="2CB25E1A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3B8A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711 Prihodi od prodaje materijalne imovine - prirodnih bogatstava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CB5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32.149,40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8B65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8F03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408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</w:tr>
      <w:tr w:rsidR="00F82EF5" w:rsidRPr="00F82EF5" w14:paraId="5363CB20" w14:textId="77777777" w:rsidTr="00F82EF5">
        <w:trPr>
          <w:trHeight w:val="47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0C404" w14:textId="77777777" w:rsidR="00F82EF5" w:rsidRPr="00F82EF5" w:rsidRDefault="00F82EF5" w:rsidP="00F82EF5">
            <w:pPr>
              <w:suppressAutoHyphens w:val="0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 xml:space="preserve">72 Prihodi od prodaje proizvedene dugotrajne imovine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AC9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4.046,23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D0BD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10.050,00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A3FF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10.050,00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567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b/>
                <w:bCs/>
                <w:lang w:val="hr-HR" w:eastAsia="hr-HR"/>
              </w:rPr>
            </w:pPr>
            <w:r w:rsidRPr="00F82EF5">
              <w:rPr>
                <w:rFonts w:cs="Times New Roman"/>
                <w:b/>
                <w:bCs/>
                <w:lang w:val="hr-HR" w:eastAsia="hr-HR"/>
              </w:rPr>
              <w:t>9.784,51</w:t>
            </w:r>
          </w:p>
        </w:tc>
      </w:tr>
      <w:tr w:rsidR="00F82EF5" w:rsidRPr="00F82EF5" w14:paraId="37DB88C7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77CC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721 Prihodi od prodaje građevinskih objekata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998A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3.511,23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0119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FE3E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4234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9.082,52</w:t>
            </w:r>
          </w:p>
        </w:tc>
      </w:tr>
      <w:tr w:rsidR="00F82EF5" w:rsidRPr="00F82EF5" w14:paraId="2DA48B41" w14:textId="77777777" w:rsidTr="00F82EF5">
        <w:trPr>
          <w:trHeight w:val="24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037F" w14:textId="77777777" w:rsidR="00F82EF5" w:rsidRPr="00F82EF5" w:rsidRDefault="00F82EF5" w:rsidP="00F82EF5">
            <w:pPr>
              <w:suppressAutoHyphens w:val="0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 xml:space="preserve">723 Prihodi od prodaje prijevoznih sredstava                                                          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0ABC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535,00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A1D7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A340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A88A" w14:textId="77777777" w:rsidR="00F82EF5" w:rsidRPr="00F82EF5" w:rsidRDefault="00F82EF5" w:rsidP="00F82EF5">
            <w:pPr>
              <w:suppressAutoHyphens w:val="0"/>
              <w:jc w:val="right"/>
              <w:rPr>
                <w:rFonts w:cs="Times New Roman"/>
                <w:lang w:val="hr-HR" w:eastAsia="hr-HR"/>
              </w:rPr>
            </w:pPr>
            <w:r w:rsidRPr="00F82EF5">
              <w:rPr>
                <w:rFonts w:cs="Times New Roman"/>
                <w:lang w:val="hr-HR" w:eastAsia="hr-HR"/>
              </w:rPr>
              <w:t>701,99</w:t>
            </w:r>
          </w:p>
        </w:tc>
      </w:tr>
    </w:tbl>
    <w:p w14:paraId="654AA8BD" w14:textId="1C7EFD47" w:rsidR="00DA1F61" w:rsidRPr="00C52120" w:rsidRDefault="00F82EF5" w:rsidP="00C52120">
      <w:pPr>
        <w:jc w:val="both"/>
        <w:rPr>
          <w:rFonts w:eastAsiaTheme="minorHAnsi" w:cs="Times New Roman"/>
          <w:color w:val="000000" w:themeColor="text1"/>
          <w:sz w:val="24"/>
          <w:szCs w:val="24"/>
          <w:lang w:val="hr-HR" w:eastAsia="en-US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fldChar w:fldCharType="end"/>
      </w:r>
      <w:r w:rsidR="00DA1F61" w:rsidRPr="00C52120">
        <w:rPr>
          <w:rFonts w:cs="Times New Roman"/>
          <w:color w:val="000000" w:themeColor="text1"/>
          <w:sz w:val="24"/>
          <w:szCs w:val="24"/>
          <w:lang w:val="hr-HR"/>
        </w:rPr>
        <w:fldChar w:fldCharType="begin"/>
      </w:r>
      <w:r w:rsidR="00DA1F61" w:rsidRPr="00C52120">
        <w:rPr>
          <w:rFonts w:cs="Times New Roman"/>
          <w:color w:val="000000" w:themeColor="text1"/>
          <w:sz w:val="24"/>
          <w:szCs w:val="24"/>
          <w:lang w:val="hr-HR"/>
        </w:rPr>
        <w:instrText xml:space="preserve"> LINK </w:instrText>
      </w:r>
      <w:r w:rsidR="00525A95" w:rsidRPr="00C52120">
        <w:rPr>
          <w:rFonts w:cs="Times New Roman"/>
          <w:color w:val="000000" w:themeColor="text1"/>
          <w:sz w:val="24"/>
          <w:szCs w:val="24"/>
          <w:lang w:val="hr-HR"/>
        </w:rPr>
        <w:instrText xml:space="preserve">Excel.Sheet.12 "C:\\Users\\IvanaP\\Desktop\\GODIŠNJE IZVRŠENJE 2023\\Tablica 1. Prihodi konsolidirano.xlsx" List1!R14C1:R50C24 </w:instrText>
      </w:r>
      <w:r w:rsidR="00DA1F61" w:rsidRPr="00C52120">
        <w:rPr>
          <w:rFonts w:cs="Times New Roman"/>
          <w:color w:val="000000" w:themeColor="text1"/>
          <w:sz w:val="24"/>
          <w:szCs w:val="24"/>
          <w:lang w:val="hr-HR"/>
        </w:rPr>
        <w:instrText xml:space="preserve">\a \f 4 \h  \* MERGEFORMAT </w:instrText>
      </w:r>
      <w:r w:rsidR="00DA1F61" w:rsidRPr="00C52120">
        <w:rPr>
          <w:rFonts w:cs="Times New Roman"/>
          <w:color w:val="000000" w:themeColor="text1"/>
          <w:sz w:val="24"/>
          <w:szCs w:val="24"/>
          <w:lang w:val="hr-HR"/>
        </w:rPr>
        <w:fldChar w:fldCharType="separate"/>
      </w:r>
    </w:p>
    <w:p w14:paraId="71D001D7" w14:textId="77777777" w:rsidR="00DA1F61" w:rsidRPr="00C52120" w:rsidRDefault="00DA1F61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fldChar w:fldCharType="end"/>
      </w:r>
    </w:p>
    <w:p w14:paraId="71220D90" w14:textId="08384587" w:rsidR="00BC7DB7" w:rsidRPr="00C52120" w:rsidRDefault="00C00BF7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Prihodi od poreza </w:t>
      </w:r>
      <w:r w:rsidR="00FE3A3E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(konto 61)</w:t>
      </w:r>
    </w:p>
    <w:p w14:paraId="5149B5E4" w14:textId="77777777" w:rsidR="005808C3" w:rsidRPr="00C52120" w:rsidRDefault="005808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309C177" w14:textId="1AA79EBA" w:rsidR="00FE3A3E" w:rsidRPr="00C52120" w:rsidRDefault="00FE3A3E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od poreza realizirani su u iznosu od 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9.359.404,72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</w:t>
      </w:r>
      <w:r w:rsidR="002C2E6C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ili </w:t>
      </w:r>
      <w:r w:rsidR="00872DDE">
        <w:rPr>
          <w:rFonts w:cs="Times New Roman"/>
          <w:color w:val="000000" w:themeColor="text1"/>
          <w:sz w:val="24"/>
          <w:szCs w:val="24"/>
          <w:lang w:val="hr-HR"/>
        </w:rPr>
        <w:t xml:space="preserve">s 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57</w:t>
      </w:r>
      <w:r w:rsidR="001C2EA7">
        <w:rPr>
          <w:rFonts w:cs="Times New Roman"/>
          <w:color w:val="000000" w:themeColor="text1"/>
          <w:sz w:val="24"/>
          <w:szCs w:val="24"/>
          <w:lang w:val="hr-HR"/>
        </w:rPr>
        <w:t>% u odnosu na godišnji plan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  <w:r w:rsidR="00DD11C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U odnosu </w:t>
      </w:r>
      <w:r w:rsidR="001C2EA7">
        <w:rPr>
          <w:rFonts w:cs="Times New Roman"/>
          <w:color w:val="000000" w:themeColor="text1"/>
          <w:sz w:val="24"/>
          <w:szCs w:val="24"/>
          <w:lang w:val="hr-HR"/>
        </w:rPr>
        <w:t xml:space="preserve">na 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="00DD11C9"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="00DD11C9"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="00DD11C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veći su za</w:t>
      </w:r>
      <w:r w:rsidR="00856B7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2.603.914,33</w:t>
      </w:r>
      <w:r w:rsidR="00DD11C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39</w:t>
      </w:r>
      <w:r w:rsidR="00DD11C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%. U izvještajnom razdoblju ove godine evidentiran je povrat sredstava poreza i prireza na dohodak po godišnjoj prijavi u iznosu od </w:t>
      </w:r>
      <w:r w:rsidR="002C2E6C" w:rsidRPr="00C52120">
        <w:rPr>
          <w:rFonts w:cs="Times New Roman"/>
          <w:color w:val="000000" w:themeColor="text1"/>
          <w:sz w:val="24"/>
          <w:szCs w:val="24"/>
          <w:lang w:val="hr-HR"/>
        </w:rPr>
        <w:t>2.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622.565,69</w:t>
      </w:r>
      <w:r w:rsidR="00DD11C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0916C18E" w14:textId="5BE5D2F6" w:rsidR="00C00BF7" w:rsidRPr="00C52120" w:rsidRDefault="00C00BF7">
      <w:pPr>
        <w:pStyle w:val="Odlomakpopisa"/>
        <w:numPr>
          <w:ilvl w:val="0"/>
          <w:numId w:val="28"/>
        </w:numPr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611 Porez i prirez na dohodak</w:t>
      </w:r>
      <w:r w:rsidR="005743F6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3E2399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–</w:t>
      </w:r>
      <w:r w:rsidR="005743F6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130FF0">
        <w:rPr>
          <w:rFonts w:cs="Times New Roman"/>
          <w:color w:val="000000" w:themeColor="text1"/>
          <w:sz w:val="24"/>
          <w:szCs w:val="24"/>
          <w:u w:val="single"/>
          <w:lang w:val="hr-HR"/>
        </w:rPr>
        <w:t>8.701.316,67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B75A2D5" w14:textId="64C3D1E0" w:rsidR="00C00BF7" w:rsidRPr="00C52120" w:rsidRDefault="00C00BF7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Radi se o najznačajnijem poreznom prihodu Krapinsko-zagorske županije, od čega se na decentralizirana sredstva za sanaciju šteta od potresa odnosi 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1.649.527,76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EUR, a 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7.051.788,91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je vlastiti (izvorni) prihod Krapinsko-zagorske županije.</w:t>
      </w:r>
      <w:r w:rsidR="00DE4123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7AB06F56" w14:textId="6B109984" w:rsidR="00DE4123" w:rsidRPr="00C52120" w:rsidRDefault="004A3224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</w:t>
      </w:r>
      <w:r w:rsidR="00C00BF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rihodi od poreza </w:t>
      </w:r>
      <w:r w:rsidR="00872DDE">
        <w:rPr>
          <w:rFonts w:cs="Times New Roman"/>
          <w:color w:val="000000" w:themeColor="text1"/>
          <w:sz w:val="24"/>
          <w:szCs w:val="24"/>
          <w:lang w:val="hr-HR"/>
        </w:rPr>
        <w:t xml:space="preserve">i prireza </w:t>
      </w:r>
      <w:r w:rsidR="00C00BF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 dohodak </w:t>
      </w:r>
      <w:r w:rsidR="00A60C42" w:rsidRPr="00C52120">
        <w:rPr>
          <w:rFonts w:cs="Times New Roman"/>
          <w:color w:val="000000" w:themeColor="text1"/>
          <w:sz w:val="24"/>
          <w:szCs w:val="24"/>
          <w:lang w:val="hr-HR"/>
        </w:rPr>
        <w:t>realizirani su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130FF0">
        <w:rPr>
          <w:rFonts w:cs="Times New Roman"/>
          <w:color w:val="000000" w:themeColor="text1"/>
          <w:sz w:val="24"/>
          <w:szCs w:val="24"/>
          <w:lang w:val="hr-HR"/>
        </w:rPr>
        <w:t>57</w:t>
      </w:r>
      <w:r w:rsidR="005743F6" w:rsidRPr="00C52120">
        <w:rPr>
          <w:rFonts w:cs="Times New Roman"/>
          <w:color w:val="000000" w:themeColor="text1"/>
          <w:sz w:val="24"/>
          <w:szCs w:val="24"/>
          <w:lang w:val="hr-HR"/>
        </w:rPr>
        <w:t>% u odnosu na godišnji plan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</w:p>
    <w:p w14:paraId="52ECA233" w14:textId="507F1EDE" w:rsidR="005743F6" w:rsidRPr="00C52120" w:rsidRDefault="005743F6">
      <w:pPr>
        <w:pStyle w:val="Odlomakpopisa"/>
        <w:numPr>
          <w:ilvl w:val="0"/>
          <w:numId w:val="28"/>
        </w:num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613 Porezi na imovinu – </w:t>
      </w:r>
      <w:r w:rsidR="00130FF0">
        <w:rPr>
          <w:rFonts w:cs="Times New Roman"/>
          <w:color w:val="000000" w:themeColor="text1"/>
          <w:sz w:val="24"/>
          <w:szCs w:val="24"/>
          <w:u w:val="single"/>
          <w:lang w:val="hr-HR"/>
        </w:rPr>
        <w:t>37.582,29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5ACB4DE6" w14:textId="69CEE4AA" w:rsidR="005743F6" w:rsidRPr="00C52120" w:rsidRDefault="005743F6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Porez na nasljedstva i darove realiziran je</w:t>
      </w:r>
      <w:r w:rsidR="003665A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u iznosu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3665A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od </w:t>
      </w:r>
      <w:r w:rsidR="00732879">
        <w:rPr>
          <w:rFonts w:cs="Times New Roman"/>
          <w:color w:val="000000" w:themeColor="text1"/>
          <w:sz w:val="24"/>
          <w:szCs w:val="24"/>
          <w:lang w:val="hr-HR"/>
        </w:rPr>
        <w:t>37.582,29</w:t>
      </w:r>
      <w:r w:rsidR="003665A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što je </w:t>
      </w:r>
      <w:r w:rsidR="009C24C6" w:rsidRPr="00C52120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="00732879">
        <w:rPr>
          <w:rFonts w:cs="Times New Roman"/>
          <w:color w:val="000000" w:themeColor="text1"/>
          <w:sz w:val="24"/>
          <w:szCs w:val="24"/>
          <w:lang w:val="hr-HR"/>
        </w:rPr>
        <w:t>88</w:t>
      </w:r>
      <w:r w:rsidR="003665A4" w:rsidRPr="00C52120">
        <w:rPr>
          <w:rFonts w:cs="Times New Roman"/>
          <w:color w:val="000000" w:themeColor="text1"/>
          <w:sz w:val="24"/>
          <w:szCs w:val="24"/>
          <w:lang w:val="hr-HR"/>
        </w:rPr>
        <w:t>% u odnosu na godišnji plan.</w:t>
      </w:r>
      <w:r w:rsidR="00003B3E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49B6CEE7" w14:textId="30DC87C9" w:rsidR="00376985" w:rsidRPr="00C52120" w:rsidRDefault="00376985" w:rsidP="00C52120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614 Porez</w:t>
      </w:r>
      <w:r w:rsidR="00D71B71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na robu i usluge – </w:t>
      </w:r>
      <w:r w:rsidR="00732879">
        <w:rPr>
          <w:rFonts w:cs="Times New Roman"/>
          <w:color w:val="000000" w:themeColor="text1"/>
          <w:sz w:val="24"/>
          <w:szCs w:val="24"/>
          <w:u w:val="single"/>
          <w:lang w:val="hr-HR"/>
        </w:rPr>
        <w:t>620.505,76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18A7DA5" w14:textId="77777777" w:rsidR="008D77BB" w:rsidRDefault="00376985" w:rsidP="008D77BB">
      <w:pPr>
        <w:ind w:left="714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Porez na cestovna motorna vozila realiziran je u iznosu od </w:t>
      </w:r>
      <w:r w:rsidR="00732879">
        <w:rPr>
          <w:rFonts w:cs="Times New Roman"/>
          <w:color w:val="000000" w:themeColor="text1"/>
          <w:sz w:val="24"/>
          <w:szCs w:val="24"/>
          <w:lang w:val="hr-HR"/>
        </w:rPr>
        <w:t>616.718,19</w:t>
      </w:r>
      <w:r w:rsidR="00D6678D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što je </w:t>
      </w:r>
      <w:r w:rsidR="00732879">
        <w:rPr>
          <w:rFonts w:cs="Times New Roman"/>
          <w:color w:val="000000" w:themeColor="text1"/>
          <w:sz w:val="24"/>
          <w:szCs w:val="24"/>
          <w:lang w:val="hr-HR"/>
        </w:rPr>
        <w:t>66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</w:t>
      </w:r>
      <w:r w:rsidR="00D6678D" w:rsidRPr="00C52120">
        <w:rPr>
          <w:rFonts w:cs="Times New Roman"/>
          <w:color w:val="000000" w:themeColor="text1"/>
          <w:sz w:val="24"/>
          <w:szCs w:val="24"/>
          <w:lang w:val="hr-HR"/>
        </w:rPr>
        <w:t>godišnji plan</w:t>
      </w:r>
      <w:r w:rsidR="00926244"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="00521588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Porez na dobitke od igara na sreću realiziran je u iznosu od </w:t>
      </w:r>
      <w:r w:rsidR="00732879">
        <w:rPr>
          <w:rFonts w:cs="Times New Roman"/>
          <w:color w:val="000000" w:themeColor="text1"/>
          <w:sz w:val="24"/>
          <w:szCs w:val="24"/>
          <w:lang w:val="hr-HR"/>
        </w:rPr>
        <w:t>3.787,57</w:t>
      </w:r>
      <w:r w:rsidR="00D6678D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što je </w:t>
      </w:r>
      <w:r w:rsidR="00732879">
        <w:rPr>
          <w:rFonts w:cs="Times New Roman"/>
          <w:color w:val="000000" w:themeColor="text1"/>
          <w:sz w:val="24"/>
          <w:szCs w:val="24"/>
          <w:lang w:val="hr-HR"/>
        </w:rPr>
        <w:t>57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</w:t>
      </w:r>
      <w:r w:rsidR="00D6678D" w:rsidRPr="00C52120">
        <w:rPr>
          <w:rFonts w:cs="Times New Roman"/>
          <w:color w:val="000000" w:themeColor="text1"/>
          <w:sz w:val="24"/>
          <w:szCs w:val="24"/>
          <w:lang w:val="hr-HR"/>
        </w:rPr>
        <w:t>godišnji plan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="00D71B71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3299A7A5" w14:textId="78D514C3" w:rsidR="007E58B9" w:rsidRPr="008D77BB" w:rsidRDefault="00376985" w:rsidP="00B848CD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lastRenderedPageBreak/>
        <w:t xml:space="preserve">Pomoći </w:t>
      </w:r>
      <w:r w:rsidR="00175B06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iz inozemstva i od subjekata unutar općeg proračuna</w:t>
      </w:r>
      <w:r w:rsidR="007E58B9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(konto 63)</w:t>
      </w:r>
      <w:r w:rsidR="00175B06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</w:t>
      </w:r>
    </w:p>
    <w:p w14:paraId="3018C911" w14:textId="77777777" w:rsidR="005808C3" w:rsidRPr="00C52120" w:rsidRDefault="005808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D8A07BC" w14:textId="1A19E3C3" w:rsidR="007E58B9" w:rsidRPr="00C52120" w:rsidRDefault="007E58B9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Pomoći iz inozemstva i od subjekata unutar općeg proračuna realiziran</w:t>
      </w:r>
      <w:r w:rsidR="00EB7925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u iznosu od</w:t>
      </w:r>
      <w:r w:rsidR="007522BC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D07B8E">
        <w:rPr>
          <w:rFonts w:cs="Times New Roman"/>
          <w:color w:val="000000" w:themeColor="text1"/>
          <w:sz w:val="24"/>
          <w:szCs w:val="24"/>
          <w:lang w:val="hr-HR"/>
        </w:rPr>
        <w:t>55.816.021,57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D07B8E">
        <w:rPr>
          <w:rFonts w:cs="Times New Roman"/>
          <w:color w:val="000000" w:themeColor="text1"/>
          <w:sz w:val="24"/>
          <w:szCs w:val="24"/>
          <w:lang w:val="hr-HR"/>
        </w:rPr>
        <w:t>46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godišnji plan. U odnosu na </w:t>
      </w:r>
      <w:r w:rsidR="00D07B8E">
        <w:rPr>
          <w:rFonts w:cs="Times New Roman"/>
          <w:color w:val="000000" w:themeColor="text1"/>
          <w:sz w:val="24"/>
          <w:szCs w:val="24"/>
          <w:lang w:val="hr-HR"/>
        </w:rPr>
        <w:t>isto izvještajno razdoblje u 2023. godini manji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D07B8E">
        <w:rPr>
          <w:rFonts w:cs="Times New Roman"/>
          <w:color w:val="000000" w:themeColor="text1"/>
          <w:sz w:val="24"/>
          <w:szCs w:val="24"/>
          <w:lang w:val="hr-HR"/>
        </w:rPr>
        <w:t>22.759.611,54</w:t>
      </w:r>
      <w:r w:rsidR="007522BC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EUR</w:t>
      </w:r>
      <w:r w:rsidR="0067495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ili za </w:t>
      </w:r>
      <w:r w:rsidR="00D07B8E">
        <w:rPr>
          <w:rFonts w:cs="Times New Roman"/>
          <w:color w:val="000000" w:themeColor="text1"/>
          <w:sz w:val="24"/>
          <w:szCs w:val="24"/>
          <w:lang w:val="hr-HR"/>
        </w:rPr>
        <w:t>29</w:t>
      </w:r>
      <w:r w:rsidR="0067495B" w:rsidRPr="00C52120">
        <w:rPr>
          <w:rFonts w:cs="Times New Roman"/>
          <w:color w:val="000000" w:themeColor="text1"/>
          <w:sz w:val="24"/>
          <w:szCs w:val="24"/>
          <w:lang w:val="hr-HR"/>
        </w:rPr>
        <w:t>%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5CBEEA46" w14:textId="19F47365" w:rsidR="00376985" w:rsidRPr="00C52120" w:rsidRDefault="00376985" w:rsidP="00C52120">
      <w:pPr>
        <w:pStyle w:val="Odlomakpopisa"/>
        <w:numPr>
          <w:ilvl w:val="0"/>
          <w:numId w:val="3"/>
        </w:num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632 Pomoći od međunarodnih organizacija te institucija i tijela EU</w:t>
      </w:r>
      <w:r w:rsidR="00175B06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 </w:t>
      </w:r>
      <w:r w:rsidR="006A3D07">
        <w:rPr>
          <w:rFonts w:cs="Times New Roman"/>
          <w:color w:val="000000" w:themeColor="text1"/>
          <w:sz w:val="24"/>
          <w:szCs w:val="24"/>
          <w:u w:val="single"/>
          <w:lang w:val="hr-HR"/>
        </w:rPr>
        <w:t>530.483,50</w:t>
      </w:r>
      <w:r w:rsidR="00175B06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7995772" w14:textId="238C220E" w:rsidR="00AE34D5" w:rsidRPr="00C52120" w:rsidRDefault="00AE34D5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3D25C9">
        <w:rPr>
          <w:rFonts w:cs="Times New Roman"/>
          <w:color w:val="000000" w:themeColor="text1"/>
          <w:sz w:val="24"/>
          <w:szCs w:val="24"/>
          <w:lang w:val="hr-HR"/>
        </w:rPr>
        <w:t>35.373,89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</w:t>
      </w:r>
      <w:r w:rsidR="003D25C9">
        <w:rPr>
          <w:rFonts w:cs="Times New Roman"/>
          <w:color w:val="000000" w:themeColor="text1"/>
          <w:sz w:val="24"/>
          <w:szCs w:val="24"/>
          <w:lang w:val="hr-HR"/>
        </w:rPr>
        <w:t>u sljedeće: 34.253,89 EUR -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predfinanciranje </w:t>
      </w:r>
      <w:r w:rsidR="003D25C9">
        <w:rPr>
          <w:rFonts w:cs="Times New Roman"/>
          <w:color w:val="000000" w:themeColor="text1"/>
          <w:sz w:val="24"/>
          <w:szCs w:val="24"/>
          <w:lang w:val="hr-HR"/>
        </w:rPr>
        <w:t>(uplata predujma) za projekt „</w:t>
      </w:r>
      <w:proofErr w:type="spellStart"/>
      <w:r w:rsidR="003D25C9">
        <w:rPr>
          <w:rFonts w:cs="Times New Roman"/>
          <w:color w:val="000000" w:themeColor="text1"/>
          <w:sz w:val="24"/>
          <w:szCs w:val="24"/>
          <w:lang w:val="hr-HR"/>
        </w:rPr>
        <w:t>Arcadia</w:t>
      </w:r>
      <w:proofErr w:type="spellEnd"/>
      <w:r w:rsidR="003D25C9">
        <w:rPr>
          <w:rFonts w:cs="Times New Roman"/>
          <w:color w:val="000000" w:themeColor="text1"/>
          <w:sz w:val="24"/>
          <w:szCs w:val="24"/>
          <w:lang w:val="hr-HR"/>
        </w:rPr>
        <w:t>“ i 1.120,00 EUR – završna uplata po projektu „Poticanje kulture lokalnih savjeta mladih“.</w:t>
      </w:r>
    </w:p>
    <w:p w14:paraId="3B3EF1BB" w14:textId="6EBD990D" w:rsidR="00AE34D5" w:rsidRPr="00C52120" w:rsidRDefault="00AE34D5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3D25C9">
        <w:rPr>
          <w:rFonts w:cs="Times New Roman"/>
          <w:color w:val="000000" w:themeColor="text1"/>
          <w:sz w:val="24"/>
          <w:szCs w:val="24"/>
          <w:lang w:val="hr-HR"/>
        </w:rPr>
        <w:t xml:space="preserve">495.109,61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EUR odnose se na proračunske korisnike, a uključuju tekuće pomoći od institucija i tijela EU.</w:t>
      </w:r>
    </w:p>
    <w:p w14:paraId="7294191D" w14:textId="6708DA29" w:rsidR="00521588" w:rsidRPr="00C52120" w:rsidRDefault="00521588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3D25C9">
        <w:rPr>
          <w:rFonts w:cs="Times New Roman"/>
          <w:color w:val="000000" w:themeColor="text1"/>
          <w:sz w:val="24"/>
          <w:szCs w:val="24"/>
          <w:lang w:val="hr-HR"/>
        </w:rPr>
        <w:t>84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48848B4D" w14:textId="6D8E373B" w:rsidR="00376985" w:rsidRPr="00C52120" w:rsidRDefault="00376985">
      <w:pPr>
        <w:pStyle w:val="Odlomakpopisa"/>
        <w:numPr>
          <w:ilvl w:val="0"/>
          <w:numId w:val="26"/>
        </w:numPr>
        <w:ind w:left="709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633 Pomoći proračunu iz drugih proračuna</w:t>
      </w:r>
      <w:r w:rsidR="00DE4123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 </w:t>
      </w:r>
      <w:r w:rsidR="006A3D07">
        <w:rPr>
          <w:rFonts w:cs="Times New Roman"/>
          <w:color w:val="000000" w:themeColor="text1"/>
          <w:sz w:val="24"/>
          <w:szCs w:val="24"/>
          <w:u w:val="single"/>
          <w:lang w:val="hr-HR"/>
        </w:rPr>
        <w:t>4.024.899,11</w:t>
      </w:r>
      <w:r w:rsidR="00DE4123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1F2D5F5" w14:textId="550F8A50" w:rsidR="007C115C" w:rsidRDefault="00376985" w:rsidP="007C115C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</w:t>
      </w:r>
      <w:r w:rsidR="00D46BD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u iznosu od </w:t>
      </w:r>
      <w:r w:rsidR="00704E24">
        <w:rPr>
          <w:rFonts w:cs="Times New Roman"/>
          <w:color w:val="000000" w:themeColor="text1"/>
          <w:sz w:val="24"/>
          <w:szCs w:val="24"/>
          <w:lang w:val="hr-HR"/>
        </w:rPr>
        <w:t>3.965.989,75</w:t>
      </w:r>
      <w:r w:rsidR="00D46BD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>županijski proračun</w:t>
      </w:r>
      <w:r w:rsidR="00D46B9F" w:rsidRPr="00C52120">
        <w:rPr>
          <w:rFonts w:cs="Times New Roman"/>
          <w:color w:val="000000" w:themeColor="text1"/>
          <w:sz w:val="24"/>
          <w:szCs w:val="24"/>
          <w:lang w:val="hr-HR"/>
        </w:rPr>
        <w:t>, a</w:t>
      </w:r>
      <w:r w:rsidR="00E63160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uključuju sljedeće</w:t>
      </w:r>
      <w:r w:rsidR="00FC6030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: </w:t>
      </w:r>
      <w:r w:rsidR="00704E24">
        <w:rPr>
          <w:rFonts w:cs="Times New Roman"/>
          <w:color w:val="000000" w:themeColor="text1"/>
          <w:sz w:val="24"/>
          <w:szCs w:val="24"/>
          <w:lang w:val="hr-HR"/>
        </w:rPr>
        <w:t>597.252,50</w:t>
      </w:r>
      <w:r w:rsidR="005D4480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– financiranje preuzetih djelatnika nekadašnjeg Ureda državne uprave, </w:t>
      </w:r>
      <w:r w:rsidR="007C115C">
        <w:rPr>
          <w:rFonts w:cs="Times New Roman"/>
          <w:color w:val="000000" w:themeColor="text1"/>
          <w:sz w:val="24"/>
          <w:szCs w:val="24"/>
          <w:lang w:val="hr-HR"/>
        </w:rPr>
        <w:t>485.385,92 EUR – tekuće pomoći za parlamentarne izbore 2024. godina, 58.100,01</w:t>
      </w:r>
      <w:r w:rsidR="005D4480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- sufinanciranje kamata po poduzetničkim kreditima, </w:t>
      </w:r>
      <w:r w:rsidR="007C115C">
        <w:rPr>
          <w:rFonts w:cs="Times New Roman"/>
          <w:color w:val="000000" w:themeColor="text1"/>
          <w:sz w:val="24"/>
          <w:szCs w:val="24"/>
          <w:lang w:val="hr-HR"/>
        </w:rPr>
        <w:t>1.337.375,53</w:t>
      </w:r>
      <w:r w:rsidR="005D4480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- sufinanciranje prijevoza učenika srednjih škola, </w:t>
      </w:r>
      <w:r w:rsidR="007C115C">
        <w:rPr>
          <w:rFonts w:cs="Times New Roman"/>
          <w:color w:val="000000" w:themeColor="text1"/>
          <w:sz w:val="24"/>
          <w:szCs w:val="24"/>
          <w:lang w:val="hr-HR"/>
        </w:rPr>
        <w:t>11.649,40 EUR – projekt Baltazar 4, 10.322,40</w:t>
      </w:r>
      <w:r w:rsidR="007C115C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- povrat troškova za pogrebe branitelja</w:t>
      </w:r>
      <w:r w:rsidR="007C115C">
        <w:rPr>
          <w:rFonts w:cs="Times New Roman"/>
          <w:color w:val="000000" w:themeColor="text1"/>
          <w:sz w:val="24"/>
          <w:szCs w:val="24"/>
          <w:lang w:val="hr-HR"/>
        </w:rPr>
        <w:t>, 181.435,14</w:t>
      </w:r>
      <w:r w:rsidR="00E3117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- kompenzacijska mjera</w:t>
      </w:r>
      <w:r w:rsidR="003A32D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– fiskalno izravnanje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, </w:t>
      </w:r>
      <w:r w:rsidR="00BC1DD8">
        <w:rPr>
          <w:rFonts w:cs="Times New Roman"/>
          <w:color w:val="000000" w:themeColor="text1"/>
          <w:sz w:val="24"/>
          <w:szCs w:val="24"/>
          <w:lang w:val="hr-HR"/>
        </w:rPr>
        <w:t xml:space="preserve">0,50 EUR – Ministarstvo zdravstva </w:t>
      </w:r>
      <w:r w:rsidR="00245552">
        <w:rPr>
          <w:rFonts w:cs="Times New Roman"/>
          <w:color w:val="000000" w:themeColor="text1"/>
          <w:sz w:val="24"/>
          <w:szCs w:val="24"/>
          <w:lang w:val="hr-HR"/>
        </w:rPr>
        <w:t>–</w:t>
      </w:r>
      <w:r w:rsidR="00BC1DD8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245552">
        <w:rPr>
          <w:rFonts w:cs="Times New Roman"/>
          <w:color w:val="000000" w:themeColor="text1"/>
          <w:sz w:val="24"/>
          <w:szCs w:val="24"/>
          <w:lang w:val="hr-HR"/>
        </w:rPr>
        <w:t>uplata razlike, 327.932,03 EUR – tekuće pomoći za izbore za EU parlament, 26.839,12 EUR – Ministarstvo regionalnog razvoja – energetska obnova škola, 900.000,00 EUR – Ministarstvo znanosti – kapitalna pomoć za Regionalni centar kompetentnosti u turizmu i ugostiteljstvu u Zaboku (sportska dvorana), 21.269,98 EUR – regresiranje kamata – gradovi, 160,00</w:t>
      </w:r>
      <w:r w:rsidR="00245552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– pomoći iz gradskih proračuna za sigurnost u prometu,</w:t>
      </w:r>
      <w:r w:rsidR="00245552">
        <w:rPr>
          <w:rFonts w:cs="Times New Roman"/>
          <w:color w:val="000000" w:themeColor="text1"/>
          <w:sz w:val="24"/>
          <w:szCs w:val="24"/>
          <w:lang w:val="hr-HR"/>
        </w:rPr>
        <w:t xml:space="preserve"> 7.855,35 EUR – regresiranje kamata – općine, 411,87</w:t>
      </w:r>
      <w:r w:rsidR="00245552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– Grad Krapina – procjeniteljsko povjerenstvo</w:t>
      </w:r>
    </w:p>
    <w:p w14:paraId="7A5D43AB" w14:textId="4825C6C6" w:rsidR="00E3117F" w:rsidRPr="00302D6A" w:rsidRDefault="00E63160" w:rsidP="00C52120">
      <w:pPr>
        <w:ind w:left="720"/>
        <w:jc w:val="both"/>
        <w:rPr>
          <w:rFonts w:cs="Times New Roman"/>
          <w:color w:val="FF0000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302D6A">
        <w:rPr>
          <w:rFonts w:cs="Times New Roman"/>
          <w:color w:val="000000" w:themeColor="text1"/>
          <w:sz w:val="24"/>
          <w:szCs w:val="24"/>
          <w:lang w:val="hr-HR"/>
        </w:rPr>
        <w:t>58.909,36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</w:t>
      </w:r>
      <w:r w:rsidRPr="00BD6DE3">
        <w:rPr>
          <w:rFonts w:cs="Times New Roman"/>
          <w:color w:val="000000" w:themeColor="text1"/>
          <w:sz w:val="24"/>
          <w:szCs w:val="24"/>
          <w:lang w:val="hr-HR"/>
        </w:rPr>
        <w:t>R odnose se na proračunske korisnike, a uključuj</w:t>
      </w:r>
      <w:r w:rsidR="0068488F" w:rsidRPr="00BD6DE3">
        <w:rPr>
          <w:rFonts w:cs="Times New Roman"/>
          <w:color w:val="000000" w:themeColor="text1"/>
          <w:sz w:val="24"/>
          <w:szCs w:val="24"/>
          <w:lang w:val="hr-HR"/>
        </w:rPr>
        <w:t>u</w:t>
      </w:r>
      <w:r w:rsidRPr="00BD6DE3">
        <w:rPr>
          <w:rFonts w:cs="Times New Roman"/>
          <w:color w:val="000000" w:themeColor="text1"/>
          <w:sz w:val="24"/>
          <w:szCs w:val="24"/>
          <w:lang w:val="hr-HR"/>
        </w:rPr>
        <w:t xml:space="preserve"> tekuće pomoći gradskih i općinskih proračuna.</w:t>
      </w:r>
    </w:p>
    <w:p w14:paraId="575545A7" w14:textId="5CE8B54E" w:rsidR="00521588" w:rsidRPr="00C52120" w:rsidRDefault="00521588" w:rsidP="00C52120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302D6A">
        <w:rPr>
          <w:rFonts w:cs="Times New Roman"/>
          <w:color w:val="000000" w:themeColor="text1"/>
          <w:sz w:val="24"/>
          <w:szCs w:val="24"/>
          <w:lang w:val="hr-HR"/>
        </w:rPr>
        <w:t>51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1F41108" w14:textId="095FCE98" w:rsidR="00376985" w:rsidRPr="002D071D" w:rsidRDefault="00376985" w:rsidP="00C52120">
      <w:pPr>
        <w:pStyle w:val="Odlomakpopisa"/>
        <w:numPr>
          <w:ilvl w:val="0"/>
          <w:numId w:val="3"/>
        </w:numPr>
        <w:jc w:val="both"/>
        <w:rPr>
          <w:rFonts w:cs="Times New Roman"/>
          <w:sz w:val="24"/>
          <w:szCs w:val="24"/>
          <w:u w:val="single"/>
          <w:lang w:val="hr-HR"/>
        </w:rPr>
      </w:pPr>
      <w:r w:rsidRPr="002D071D">
        <w:rPr>
          <w:rFonts w:cs="Times New Roman"/>
          <w:sz w:val="24"/>
          <w:szCs w:val="24"/>
          <w:u w:val="single"/>
          <w:lang w:val="hr-HR"/>
        </w:rPr>
        <w:t>634 Pomoći od izvanproračunskih korisnika</w:t>
      </w:r>
      <w:r w:rsidR="0068488F" w:rsidRPr="002D071D">
        <w:rPr>
          <w:rFonts w:cs="Times New Roman"/>
          <w:sz w:val="24"/>
          <w:szCs w:val="24"/>
          <w:u w:val="single"/>
          <w:lang w:val="hr-HR"/>
        </w:rPr>
        <w:t xml:space="preserve"> –</w:t>
      </w:r>
      <w:r w:rsidRPr="002D071D">
        <w:rPr>
          <w:rFonts w:cs="Times New Roman"/>
          <w:sz w:val="24"/>
          <w:szCs w:val="24"/>
          <w:u w:val="single"/>
          <w:lang w:val="hr-HR"/>
        </w:rPr>
        <w:t xml:space="preserve"> </w:t>
      </w:r>
      <w:r w:rsidR="006A3D07" w:rsidRPr="002D071D">
        <w:rPr>
          <w:rFonts w:cs="Times New Roman"/>
          <w:sz w:val="24"/>
          <w:szCs w:val="24"/>
          <w:u w:val="single"/>
          <w:lang w:val="hr-HR"/>
        </w:rPr>
        <w:t>615.371,74</w:t>
      </w:r>
      <w:r w:rsidRPr="002D071D">
        <w:rPr>
          <w:rFonts w:cs="Times New Roman"/>
          <w:sz w:val="24"/>
          <w:szCs w:val="24"/>
          <w:u w:val="single"/>
          <w:lang w:val="hr-HR"/>
        </w:rPr>
        <w:t xml:space="preserve"> </w:t>
      </w:r>
      <w:r w:rsidR="0068488F" w:rsidRPr="002D071D">
        <w:rPr>
          <w:rFonts w:cs="Times New Roman"/>
          <w:sz w:val="24"/>
          <w:szCs w:val="24"/>
          <w:u w:val="single"/>
          <w:lang w:val="hr-HR"/>
        </w:rPr>
        <w:t>EUR</w:t>
      </w:r>
    </w:p>
    <w:p w14:paraId="217CA56E" w14:textId="4A648123" w:rsidR="004E5539" w:rsidRPr="00C52120" w:rsidRDefault="0068488F" w:rsidP="00C52120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2D071D">
        <w:rPr>
          <w:rFonts w:cs="Times New Roman"/>
          <w:color w:val="000000" w:themeColor="text1"/>
          <w:sz w:val="24"/>
          <w:szCs w:val="24"/>
          <w:lang w:val="hr-HR"/>
        </w:rPr>
        <w:t>297.609,81</w:t>
      </w:r>
      <w:r w:rsidR="004E553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uključuje </w:t>
      </w:r>
      <w:r w:rsidR="002D071D">
        <w:rPr>
          <w:rFonts w:cs="Times New Roman"/>
          <w:color w:val="000000" w:themeColor="text1"/>
          <w:sz w:val="24"/>
          <w:szCs w:val="24"/>
          <w:lang w:val="hr-HR"/>
        </w:rPr>
        <w:t xml:space="preserve">sljedeće: 292.786,24 EUR - </w:t>
      </w:r>
      <w:r w:rsidR="004E5539" w:rsidRPr="00C52120">
        <w:rPr>
          <w:rFonts w:cs="Times New Roman"/>
          <w:color w:val="000000" w:themeColor="text1"/>
          <w:sz w:val="24"/>
          <w:szCs w:val="24"/>
          <w:lang w:val="hr-HR"/>
        </w:rPr>
        <w:t>kapitalne pomoći od Hrvatskih voda</w:t>
      </w:r>
      <w:r w:rsidR="002D071D">
        <w:rPr>
          <w:rFonts w:cs="Times New Roman"/>
          <w:color w:val="000000" w:themeColor="text1"/>
          <w:sz w:val="24"/>
          <w:szCs w:val="24"/>
          <w:lang w:val="hr-HR"/>
        </w:rPr>
        <w:t xml:space="preserve"> i 4.823,57 – tekuće pomoći Fonda za zaštitu okoliša i energetsku učinkovitost</w:t>
      </w:r>
      <w:r w:rsidR="00F706C5">
        <w:rPr>
          <w:rFonts w:cs="Times New Roman"/>
          <w:color w:val="000000" w:themeColor="text1"/>
          <w:sz w:val="24"/>
          <w:szCs w:val="24"/>
          <w:lang w:val="hr-HR"/>
        </w:rPr>
        <w:t xml:space="preserve"> – Javna </w:t>
      </w:r>
      <w:r w:rsidR="00A57362">
        <w:rPr>
          <w:rFonts w:cs="Times New Roman"/>
          <w:color w:val="000000" w:themeColor="text1"/>
          <w:sz w:val="24"/>
          <w:szCs w:val="24"/>
          <w:lang w:val="hr-HR"/>
        </w:rPr>
        <w:t>ustanova</w:t>
      </w:r>
      <w:r w:rsidR="00F706C5">
        <w:rPr>
          <w:rFonts w:cs="Times New Roman"/>
          <w:color w:val="000000" w:themeColor="text1"/>
          <w:sz w:val="24"/>
          <w:szCs w:val="24"/>
          <w:lang w:val="hr-HR"/>
        </w:rPr>
        <w:t xml:space="preserve"> Zagorje zeleno</w:t>
      </w:r>
      <w:r w:rsidR="00A57362">
        <w:rPr>
          <w:rFonts w:cs="Times New Roman"/>
          <w:color w:val="000000" w:themeColor="text1"/>
          <w:sz w:val="24"/>
          <w:szCs w:val="24"/>
          <w:lang w:val="hr-HR"/>
        </w:rPr>
        <w:t>m (predfinanciranje)</w:t>
      </w:r>
    </w:p>
    <w:p w14:paraId="52CA1585" w14:textId="7E2406C7" w:rsidR="0068488F" w:rsidRPr="00C52120" w:rsidRDefault="004E5539" w:rsidP="00C52120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od </w:t>
      </w:r>
      <w:r w:rsidR="00AE71CB">
        <w:rPr>
          <w:rFonts w:cs="Times New Roman"/>
          <w:color w:val="000000" w:themeColor="text1"/>
          <w:sz w:val="24"/>
          <w:szCs w:val="24"/>
          <w:lang w:val="hr-HR"/>
        </w:rPr>
        <w:t>317.761,93</w:t>
      </w:r>
      <w:r w:rsidR="0068488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pomoći od izvanproračunskih korisnika županijskog, gradskog i općinskog proračuna te tekuće pomoći od HZMO-a, HZZ-a i HZZO-a.</w:t>
      </w:r>
    </w:p>
    <w:p w14:paraId="05126684" w14:textId="599E3791" w:rsidR="0047245C" w:rsidRPr="00C52120" w:rsidRDefault="0047245C" w:rsidP="00C52120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AE71CB">
        <w:rPr>
          <w:rFonts w:cs="Times New Roman"/>
          <w:color w:val="000000" w:themeColor="text1"/>
          <w:sz w:val="24"/>
          <w:szCs w:val="24"/>
          <w:lang w:val="hr-HR"/>
        </w:rPr>
        <w:t>28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6833364" w14:textId="23A28D79" w:rsidR="00376985" w:rsidRPr="00C52120" w:rsidRDefault="00376985" w:rsidP="00C52120">
      <w:pPr>
        <w:pStyle w:val="Odlomakpopisa"/>
        <w:numPr>
          <w:ilvl w:val="0"/>
          <w:numId w:val="3"/>
        </w:num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635 Pomoći izravnanja za decentralizirane funkcije</w:t>
      </w:r>
      <w:r w:rsidR="00A93726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 </w:t>
      </w:r>
      <w:r w:rsidR="006A3D07">
        <w:rPr>
          <w:rFonts w:cs="Times New Roman"/>
          <w:color w:val="000000" w:themeColor="text1"/>
          <w:sz w:val="24"/>
          <w:szCs w:val="24"/>
          <w:u w:val="single"/>
          <w:lang w:val="hr-HR"/>
        </w:rPr>
        <w:t>3.217.156,90</w:t>
      </w:r>
      <w:r w:rsidR="00A93726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8093AF1" w14:textId="1EA3E9C5" w:rsidR="00D46B9F" w:rsidRPr="00C52120" w:rsidRDefault="00376985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Pomoći se odnose na</w:t>
      </w:r>
      <w:r w:rsidR="00D46B9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>županijski proračun</w:t>
      </w:r>
      <w:r w:rsidR="00D46B9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, a uključuju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sljedeće:</w:t>
      </w:r>
      <w:r w:rsidR="00D46B9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FE588D">
        <w:rPr>
          <w:rFonts w:cs="Times New Roman"/>
          <w:color w:val="000000" w:themeColor="text1"/>
          <w:sz w:val="24"/>
          <w:szCs w:val="24"/>
          <w:lang w:val="hr-HR"/>
        </w:rPr>
        <w:t>1.942.434</w:t>
      </w:r>
      <w:r w:rsidR="00305DEA" w:rsidRPr="00C52120">
        <w:rPr>
          <w:rFonts w:cs="Times New Roman"/>
          <w:color w:val="000000" w:themeColor="text1"/>
          <w:sz w:val="24"/>
          <w:szCs w:val="24"/>
          <w:lang w:val="hr-HR"/>
        </w:rPr>
        <w:t>,00</w:t>
      </w:r>
      <w:r w:rsidR="00D46B9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-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D46B9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decentralizirane funkcije osnovnog školstva, </w:t>
      </w:r>
      <w:r w:rsidR="00FE588D">
        <w:rPr>
          <w:rFonts w:cs="Times New Roman"/>
          <w:color w:val="000000" w:themeColor="text1"/>
          <w:sz w:val="24"/>
          <w:szCs w:val="24"/>
          <w:lang w:val="hr-HR"/>
        </w:rPr>
        <w:t>951.033,00</w:t>
      </w:r>
      <w:r w:rsidR="00D46B9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- decentralizirane funkcije srednjeg školstva, </w:t>
      </w:r>
      <w:r w:rsidR="00FE588D">
        <w:rPr>
          <w:rFonts w:cs="Times New Roman"/>
          <w:color w:val="000000" w:themeColor="text1"/>
          <w:sz w:val="24"/>
          <w:szCs w:val="24"/>
          <w:lang w:val="hr-HR"/>
        </w:rPr>
        <w:t>323.689,90</w:t>
      </w:r>
      <w:r w:rsidR="00D46B9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- decentralizirane funkcije u zdravstvu.</w:t>
      </w:r>
    </w:p>
    <w:p w14:paraId="75023DA4" w14:textId="6BD581EE" w:rsidR="0047245C" w:rsidRPr="00C52120" w:rsidRDefault="0047245C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C103D9">
        <w:rPr>
          <w:rFonts w:cs="Times New Roman"/>
          <w:color w:val="000000" w:themeColor="text1"/>
          <w:sz w:val="24"/>
          <w:szCs w:val="24"/>
          <w:lang w:val="hr-HR"/>
        </w:rPr>
        <w:t>43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4E760BD" w14:textId="088E5D92" w:rsidR="0047245C" w:rsidRPr="00C52120" w:rsidRDefault="0047245C" w:rsidP="00C52120">
      <w:pPr>
        <w:pStyle w:val="Odlomakpopisa"/>
        <w:numPr>
          <w:ilvl w:val="0"/>
          <w:numId w:val="3"/>
        </w:num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636 Pomoći proračunskim korisnicima iz proračuna koji im nije nadležan – </w:t>
      </w:r>
      <w:r w:rsidR="006A3D07">
        <w:rPr>
          <w:rFonts w:cs="Times New Roman"/>
          <w:color w:val="000000" w:themeColor="text1"/>
          <w:sz w:val="24"/>
          <w:szCs w:val="24"/>
          <w:u w:val="single"/>
          <w:lang w:val="hr-HR"/>
        </w:rPr>
        <w:t>30.884.076,37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 </w:t>
      </w:r>
    </w:p>
    <w:p w14:paraId="1215585B" w14:textId="0A27A9D3" w:rsidR="0047245C" w:rsidRPr="00C52120" w:rsidRDefault="00A70363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se odnose na proračunske korisnike, a uključuju </w:t>
      </w:r>
      <w:r w:rsidR="006D6A90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tekuće i kapitalne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pomoći iz državnog proračuna</w:t>
      </w:r>
      <w:r w:rsidR="007C1636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proračuna JLP(R)S. </w:t>
      </w:r>
    </w:p>
    <w:p w14:paraId="670C557A" w14:textId="0B420ECF" w:rsidR="006D6A90" w:rsidRPr="00C52120" w:rsidRDefault="006D6A90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B461F8">
        <w:rPr>
          <w:rFonts w:cs="Times New Roman"/>
          <w:color w:val="000000" w:themeColor="text1"/>
          <w:sz w:val="24"/>
          <w:szCs w:val="24"/>
          <w:lang w:val="hr-HR"/>
        </w:rPr>
        <w:t>55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B0915D8" w14:textId="1755C924" w:rsidR="00376985" w:rsidRPr="00C52120" w:rsidRDefault="00376985">
      <w:pPr>
        <w:pStyle w:val="Odlomakpopisa"/>
        <w:numPr>
          <w:ilvl w:val="0"/>
          <w:numId w:val="27"/>
        </w:numPr>
        <w:ind w:left="709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638 Pomoći temeljem prijenosa EU sredstava</w:t>
      </w:r>
      <w:r w:rsidR="00521588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A169C1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–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6A3D07">
        <w:rPr>
          <w:rFonts w:cs="Times New Roman"/>
          <w:color w:val="000000" w:themeColor="text1"/>
          <w:sz w:val="24"/>
          <w:szCs w:val="24"/>
          <w:u w:val="single"/>
          <w:lang w:val="hr-HR"/>
        </w:rPr>
        <w:t>9.814.164,41</w:t>
      </w:r>
      <w:r w:rsidR="00A169C1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4C7CA98" w14:textId="56C9DA2E" w:rsidR="007A65C3" w:rsidRDefault="00A169C1" w:rsidP="00C52120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Pomoći se odnose na 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>županijski proračun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u iznosu od </w:t>
      </w:r>
      <w:r w:rsidR="007A65C3">
        <w:rPr>
          <w:rFonts w:cs="Times New Roman"/>
          <w:color w:val="000000" w:themeColor="text1"/>
          <w:sz w:val="24"/>
          <w:szCs w:val="24"/>
          <w:lang w:val="hr-HR"/>
        </w:rPr>
        <w:t>1.802.730,08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EUR, a uključuju sljedeće: </w:t>
      </w:r>
      <w:r w:rsidR="007A65C3">
        <w:rPr>
          <w:rFonts w:cs="Times New Roman"/>
          <w:color w:val="000000" w:themeColor="text1"/>
          <w:sz w:val="24"/>
          <w:szCs w:val="24"/>
          <w:lang w:val="hr-HR"/>
        </w:rPr>
        <w:t>460,79</w:t>
      </w:r>
      <w:r w:rsidR="007A65C3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– </w:t>
      </w:r>
      <w:r w:rsidR="007A65C3">
        <w:rPr>
          <w:rFonts w:cs="Times New Roman"/>
          <w:color w:val="000000" w:themeColor="text1"/>
          <w:sz w:val="24"/>
          <w:szCs w:val="24"/>
          <w:lang w:val="hr-HR"/>
        </w:rPr>
        <w:t xml:space="preserve">Projekt </w:t>
      </w:r>
      <w:proofErr w:type="spellStart"/>
      <w:r w:rsidR="007A65C3" w:rsidRPr="00C52120">
        <w:rPr>
          <w:rFonts w:cs="Times New Roman"/>
          <w:color w:val="000000" w:themeColor="text1"/>
          <w:sz w:val="24"/>
          <w:szCs w:val="24"/>
          <w:lang w:val="hr-HR"/>
        </w:rPr>
        <w:t>Zalogajček</w:t>
      </w:r>
      <w:proofErr w:type="spellEnd"/>
      <w:r w:rsidR="007A65C3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7</w:t>
      </w:r>
      <w:r w:rsidR="007A65C3">
        <w:rPr>
          <w:rFonts w:cs="Times New Roman"/>
          <w:color w:val="000000" w:themeColor="text1"/>
          <w:sz w:val="24"/>
          <w:szCs w:val="24"/>
          <w:lang w:val="hr-HR"/>
        </w:rPr>
        <w:t>, 23.127,42</w:t>
      </w:r>
      <w:r w:rsidR="007A65C3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– Školska shema 6</w:t>
      </w:r>
      <w:r w:rsidR="007A65C3">
        <w:rPr>
          <w:rFonts w:cs="Times New Roman"/>
          <w:color w:val="000000" w:themeColor="text1"/>
          <w:sz w:val="24"/>
          <w:szCs w:val="24"/>
          <w:lang w:val="hr-HR"/>
        </w:rPr>
        <w:t>, 157.558,07 EUR – kapitalne pomoći za projekt „Novi početak“, 993.918,27</w:t>
      </w:r>
      <w:r w:rsidR="007A65C3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- obnova od potresa Dvorac Stubički </w:t>
      </w:r>
      <w:proofErr w:type="spellStart"/>
      <w:r w:rsidR="007A65C3" w:rsidRPr="00C52120">
        <w:rPr>
          <w:rFonts w:cs="Times New Roman"/>
          <w:color w:val="000000" w:themeColor="text1"/>
          <w:sz w:val="24"/>
          <w:szCs w:val="24"/>
          <w:lang w:val="hr-HR"/>
        </w:rPr>
        <w:t>Golubovec</w:t>
      </w:r>
      <w:proofErr w:type="spellEnd"/>
      <w:r w:rsidR="007A65C3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(Fond solidarnosti),</w:t>
      </w:r>
      <w:r w:rsidR="0086276A">
        <w:rPr>
          <w:rFonts w:cs="Times New Roman"/>
          <w:color w:val="000000" w:themeColor="text1"/>
          <w:sz w:val="24"/>
          <w:szCs w:val="24"/>
          <w:lang w:val="hr-HR"/>
        </w:rPr>
        <w:t xml:space="preserve"> 36.251,96 EUR – kapitalne pomoći – COO Krapinske Toplice, 106.098,53</w:t>
      </w:r>
      <w:r w:rsidR="0086276A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– Projekt </w:t>
      </w:r>
      <w:proofErr w:type="spellStart"/>
      <w:r w:rsidR="0086276A" w:rsidRPr="00C52120">
        <w:rPr>
          <w:rFonts w:cs="Times New Roman"/>
          <w:color w:val="000000" w:themeColor="text1"/>
          <w:sz w:val="24"/>
          <w:szCs w:val="24"/>
          <w:lang w:val="hr-HR"/>
        </w:rPr>
        <w:t>Hypokrat</w:t>
      </w:r>
      <w:proofErr w:type="spellEnd"/>
      <w:r w:rsidR="0086276A">
        <w:rPr>
          <w:rFonts w:cs="Times New Roman"/>
          <w:color w:val="000000" w:themeColor="text1"/>
          <w:sz w:val="24"/>
          <w:szCs w:val="24"/>
          <w:lang w:val="hr-HR"/>
        </w:rPr>
        <w:t xml:space="preserve">, </w:t>
      </w:r>
      <w:r w:rsidR="00A479D2">
        <w:rPr>
          <w:rFonts w:cs="Times New Roman"/>
          <w:color w:val="000000" w:themeColor="text1"/>
          <w:sz w:val="24"/>
          <w:szCs w:val="24"/>
          <w:lang w:val="hr-HR"/>
        </w:rPr>
        <w:t>190.977,39 EUR – obnova od potresa – nerazvrstane ceste – Fond solidarnosti, 292.775,15</w:t>
      </w:r>
      <w:r w:rsidR="00A479D2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– rušenje i izgradnja PŠ </w:t>
      </w:r>
      <w:proofErr w:type="spellStart"/>
      <w:r w:rsidR="00A479D2" w:rsidRPr="00C52120">
        <w:rPr>
          <w:rFonts w:cs="Times New Roman"/>
          <w:color w:val="000000" w:themeColor="text1"/>
          <w:sz w:val="24"/>
          <w:szCs w:val="24"/>
          <w:lang w:val="hr-HR"/>
        </w:rPr>
        <w:t>Putkovec</w:t>
      </w:r>
      <w:proofErr w:type="spellEnd"/>
      <w:r w:rsidR="00A479D2" w:rsidRPr="00C52120">
        <w:rPr>
          <w:rFonts w:cs="Times New Roman"/>
          <w:color w:val="000000" w:themeColor="text1"/>
          <w:sz w:val="24"/>
          <w:szCs w:val="24"/>
          <w:lang w:val="hr-HR"/>
        </w:rPr>
        <w:t>,</w:t>
      </w:r>
      <w:r w:rsidR="00A479D2">
        <w:rPr>
          <w:rFonts w:cs="Times New Roman"/>
          <w:color w:val="000000" w:themeColor="text1"/>
          <w:sz w:val="24"/>
          <w:szCs w:val="24"/>
          <w:lang w:val="hr-HR"/>
        </w:rPr>
        <w:t xml:space="preserve"> 1.562,50 EUR – pomoći za OŠ Mače – cjelodnevna nastava.</w:t>
      </w:r>
    </w:p>
    <w:p w14:paraId="42EC7BC2" w14:textId="0FA61A8A" w:rsidR="00125859" w:rsidRPr="00C52120" w:rsidRDefault="00D1729B" w:rsidP="00C52120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 w:rsidR="00A479D2">
        <w:rPr>
          <w:rFonts w:cs="Times New Roman"/>
          <w:color w:val="000000" w:themeColor="text1"/>
          <w:sz w:val="24"/>
          <w:szCs w:val="24"/>
          <w:lang w:val="hr-HR"/>
        </w:rPr>
        <w:t>8.011.434,33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</w:t>
      </w:r>
      <w:r w:rsidR="00125859" w:rsidRPr="00C52120">
        <w:rPr>
          <w:rFonts w:cs="Times New Roman"/>
          <w:color w:val="000000" w:themeColor="text1"/>
          <w:sz w:val="24"/>
          <w:szCs w:val="24"/>
          <w:lang w:val="hr-HR"/>
        </w:rPr>
        <w:t>tekuće i kapitalne pomoći iz državnog proračuna temeljem prijenosa EU sredstava.</w:t>
      </w:r>
    </w:p>
    <w:p w14:paraId="58E04FBC" w14:textId="42FA7BD3" w:rsidR="00376985" w:rsidRPr="00C52120" w:rsidRDefault="00376985" w:rsidP="00C52120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A479D2">
        <w:rPr>
          <w:rFonts w:cs="Times New Roman"/>
          <w:color w:val="000000" w:themeColor="text1"/>
          <w:sz w:val="24"/>
          <w:szCs w:val="24"/>
          <w:lang w:val="hr-HR"/>
        </w:rPr>
        <w:t>24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</w:t>
      </w:r>
      <w:r w:rsidR="00A169C1" w:rsidRPr="00C52120">
        <w:rPr>
          <w:rFonts w:cs="Times New Roman"/>
          <w:color w:val="000000" w:themeColor="text1"/>
          <w:sz w:val="24"/>
          <w:szCs w:val="24"/>
          <w:lang w:val="hr-HR"/>
        </w:rPr>
        <w:t>godišnjeg plana.</w:t>
      </w:r>
    </w:p>
    <w:p w14:paraId="305FC26E" w14:textId="0ACF9007" w:rsidR="00376985" w:rsidRPr="00C52120" w:rsidRDefault="00376985">
      <w:pPr>
        <w:pStyle w:val="Odlomakpopisa"/>
        <w:numPr>
          <w:ilvl w:val="0"/>
          <w:numId w:val="27"/>
        </w:numPr>
        <w:ind w:left="709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639 Prijenosi između proračunskih korisnika istog proračuna</w:t>
      </w:r>
      <w:r w:rsidR="00125859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6A3D07">
        <w:rPr>
          <w:rFonts w:cs="Times New Roman"/>
          <w:color w:val="000000" w:themeColor="text1"/>
          <w:sz w:val="24"/>
          <w:szCs w:val="24"/>
          <w:u w:val="single"/>
          <w:lang w:val="hr-HR"/>
        </w:rPr>
        <w:t>6.729.869,54</w:t>
      </w:r>
      <w:r w:rsidR="00125859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4B2B559" w14:textId="11975BB1" w:rsidR="00376985" w:rsidRPr="00136304" w:rsidRDefault="00125859" w:rsidP="00136304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Prijenosi se odnose na Krapinsko-zagorsku županiju, a uključuju</w:t>
      </w:r>
      <w:r w:rsidR="00967140">
        <w:rPr>
          <w:rFonts w:cs="Times New Roman"/>
          <w:color w:val="000000" w:themeColor="text1"/>
          <w:sz w:val="24"/>
          <w:szCs w:val="24"/>
          <w:lang w:val="hr-HR"/>
        </w:rPr>
        <w:t xml:space="preserve"> sljedeće:</w:t>
      </w:r>
      <w:r w:rsidR="000E29C6">
        <w:rPr>
          <w:rFonts w:cs="Times New Roman"/>
          <w:color w:val="000000" w:themeColor="text1"/>
          <w:sz w:val="24"/>
          <w:szCs w:val="24"/>
          <w:lang w:val="hr-HR"/>
        </w:rPr>
        <w:t xml:space="preserve"> 3.551.808,84 EUR -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povrat</w:t>
      </w:r>
      <w:r w:rsidR="000E29C6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po revolving kreditu </w:t>
      </w:r>
      <w:r w:rsidR="008B0B23" w:rsidRPr="00C52120">
        <w:rPr>
          <w:rFonts w:cs="Times New Roman"/>
          <w:color w:val="000000" w:themeColor="text1"/>
          <w:sz w:val="24"/>
          <w:szCs w:val="24"/>
          <w:lang w:val="hr-HR"/>
        </w:rPr>
        <w:t>(Srednja škola Zabok</w:t>
      </w:r>
      <w:r w:rsidR="00A571DD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– Regionalni centar kompetentnosti u turizmu i ugostiteljstvu</w:t>
      </w:r>
      <w:r w:rsidR="008B0B23" w:rsidRPr="00C52120">
        <w:rPr>
          <w:rFonts w:cs="Times New Roman"/>
          <w:color w:val="000000" w:themeColor="text1"/>
          <w:sz w:val="24"/>
          <w:szCs w:val="24"/>
          <w:lang w:val="hr-HR"/>
        </w:rPr>
        <w:t>)</w:t>
      </w:r>
      <w:r w:rsidR="000E29C6">
        <w:rPr>
          <w:rFonts w:cs="Times New Roman"/>
          <w:color w:val="000000" w:themeColor="text1"/>
          <w:sz w:val="24"/>
          <w:szCs w:val="24"/>
          <w:lang w:val="hr-HR"/>
        </w:rPr>
        <w:t xml:space="preserve">, 2.329.108,86 EUR - povrat od Specijalne bolnice za </w:t>
      </w:r>
      <w:r w:rsidR="005B3AA1">
        <w:rPr>
          <w:rFonts w:cs="Times New Roman"/>
          <w:color w:val="000000" w:themeColor="text1"/>
          <w:sz w:val="24"/>
          <w:szCs w:val="24"/>
          <w:lang w:val="hr-HR"/>
        </w:rPr>
        <w:t>medicinsku</w:t>
      </w:r>
      <w:r w:rsidR="000E29C6">
        <w:rPr>
          <w:rFonts w:cs="Times New Roman"/>
          <w:color w:val="000000" w:themeColor="text1"/>
          <w:sz w:val="24"/>
          <w:szCs w:val="24"/>
          <w:lang w:val="hr-HR"/>
        </w:rPr>
        <w:t xml:space="preserve"> rehabilitaciju Krapinske Toplice</w:t>
      </w:r>
      <w:r w:rsidR="005B3AA1">
        <w:rPr>
          <w:rFonts w:cs="Times New Roman"/>
          <w:color w:val="000000" w:themeColor="text1"/>
          <w:sz w:val="24"/>
          <w:szCs w:val="24"/>
          <w:lang w:val="hr-HR"/>
        </w:rPr>
        <w:t xml:space="preserve"> (decentralizirana sredstva od potresa), 698.465,40 EUR – povrat od Specijalne bolnice za medicinsku rehabilitaciju Krapinske Toplice (beskamatni zajam)</w:t>
      </w:r>
      <w:r w:rsidR="004C71F5">
        <w:rPr>
          <w:rFonts w:cs="Times New Roman"/>
          <w:color w:val="000000" w:themeColor="text1"/>
          <w:sz w:val="24"/>
          <w:szCs w:val="24"/>
          <w:lang w:val="hr-HR"/>
        </w:rPr>
        <w:t xml:space="preserve">, 150.486,44 EUR </w:t>
      </w:r>
      <w:r w:rsidR="0021229C">
        <w:rPr>
          <w:rFonts w:cs="Times New Roman"/>
          <w:color w:val="000000" w:themeColor="text1"/>
          <w:sz w:val="24"/>
          <w:szCs w:val="24"/>
          <w:lang w:val="hr-HR"/>
        </w:rPr>
        <w:t>–</w:t>
      </w:r>
      <w:r w:rsidR="004C71F5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21229C">
        <w:rPr>
          <w:rFonts w:cs="Times New Roman"/>
          <w:color w:val="000000" w:themeColor="text1"/>
          <w:sz w:val="24"/>
          <w:szCs w:val="24"/>
          <w:lang w:val="hr-HR"/>
        </w:rPr>
        <w:t>povrat po projektu CRO-SI-SAFE (Zagorska razvojna agencija – predujmljivanje)</w:t>
      </w:r>
    </w:p>
    <w:p w14:paraId="36E40ACC" w14:textId="475BF1A0" w:rsidR="00376985" w:rsidRPr="00C52120" w:rsidRDefault="00376985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Realizirani iznos predstavlja</w:t>
      </w:r>
      <w:r w:rsidR="0012585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139</w:t>
      </w:r>
      <w:r w:rsidR="00B03FB4"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3CCA2AF9" w14:textId="77777777" w:rsidR="005808C3" w:rsidRPr="00C52120" w:rsidRDefault="005808C3" w:rsidP="00C52120">
      <w:pPr>
        <w:jc w:val="both"/>
        <w:rPr>
          <w:rFonts w:cs="Times New Roman"/>
          <w:b/>
          <w:color w:val="000000" w:themeColor="text1"/>
          <w:sz w:val="24"/>
          <w:szCs w:val="24"/>
          <w:lang w:val="hr-HR"/>
        </w:rPr>
      </w:pPr>
    </w:p>
    <w:p w14:paraId="60AC8B13" w14:textId="41E657FC" w:rsidR="0067495B" w:rsidRPr="00C52120" w:rsidRDefault="00376985" w:rsidP="00C52120">
      <w:pPr>
        <w:jc w:val="both"/>
        <w:rPr>
          <w:rFonts w:cs="Times New Roman"/>
          <w:b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>Prihodi od imovine</w:t>
      </w:r>
      <w:r w:rsidR="0067495B" w:rsidRPr="00C52120">
        <w:rPr>
          <w:rFonts w:cs="Times New Roman"/>
          <w:b/>
          <w:color w:val="000000" w:themeColor="text1"/>
          <w:sz w:val="24"/>
          <w:szCs w:val="24"/>
          <w:lang w:val="hr-HR"/>
        </w:rPr>
        <w:t xml:space="preserve"> (konto 64)</w:t>
      </w:r>
    </w:p>
    <w:p w14:paraId="41DCDF2D" w14:textId="77777777" w:rsidR="005808C3" w:rsidRPr="00C52120" w:rsidRDefault="005808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CA7F468" w14:textId="4543FCFC" w:rsidR="0067495B" w:rsidRPr="00C52120" w:rsidRDefault="0067495B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od imovine realizirani su u iznosu od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116.513,65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20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godišnji plan. U odnosu na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isto izvještajno razdoblje u 2023. godini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veći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27.340,82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CA05C1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ili za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31</w:t>
      </w:r>
      <w:r w:rsidR="00CA05C1" w:rsidRPr="00C52120">
        <w:rPr>
          <w:rFonts w:cs="Times New Roman"/>
          <w:color w:val="000000" w:themeColor="text1"/>
          <w:sz w:val="24"/>
          <w:szCs w:val="24"/>
          <w:lang w:val="hr-HR"/>
        </w:rPr>
        <w:t>%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67E672C7" w14:textId="49B3C726" w:rsidR="00CA05C1" w:rsidRPr="00C52120" w:rsidRDefault="00376985" w:rsidP="00C52120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641 Prihodi od financijske imovine</w:t>
      </w:r>
      <w:r w:rsidR="00CA05C1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 </w:t>
      </w:r>
      <w:r w:rsidR="00136304">
        <w:rPr>
          <w:rFonts w:cs="Times New Roman"/>
          <w:color w:val="000000" w:themeColor="text1"/>
          <w:sz w:val="24"/>
          <w:szCs w:val="24"/>
          <w:u w:val="single"/>
          <w:lang w:val="hr-HR"/>
        </w:rPr>
        <w:t>17.917,19</w:t>
      </w:r>
      <w:r w:rsidR="00CA05C1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90E8D4E" w14:textId="135CB9B3" w:rsidR="009E1B83" w:rsidRDefault="00CA05C1" w:rsidP="00C52120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>u iznosu od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6.057,53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>županijski proračun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a uključuju prihode od kamata po viđenju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zatezne kamate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="009E1B83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1EB20DF6" w14:textId="57959392" w:rsidR="00CA05C1" w:rsidRPr="00C52120" w:rsidRDefault="009E1B83" w:rsidP="00C52120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>Prihodi od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11.859,66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</w:t>
      </w:r>
      <w:r>
        <w:rPr>
          <w:rFonts w:cs="Times New Roman"/>
          <w:color w:val="000000" w:themeColor="text1"/>
          <w:sz w:val="24"/>
          <w:szCs w:val="24"/>
          <w:lang w:val="hr-HR"/>
        </w:rPr>
        <w:t>e se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na proračunske korisnike</w:t>
      </w:r>
      <w:r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397919A6" w14:textId="5C6EF0E5" w:rsidR="00CA05C1" w:rsidRPr="00C52120" w:rsidRDefault="00CA05C1" w:rsidP="00C52120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CD49FD1" w14:textId="4E7AC807" w:rsidR="00376985" w:rsidRPr="00C52120" w:rsidRDefault="00376985" w:rsidP="00C52120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642 Prihodi od nefinancijske imovine</w:t>
      </w:r>
      <w:r w:rsidR="009D451E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136304">
        <w:rPr>
          <w:rFonts w:cs="Times New Roman"/>
          <w:color w:val="000000" w:themeColor="text1"/>
          <w:sz w:val="24"/>
          <w:szCs w:val="24"/>
          <w:u w:val="single"/>
          <w:lang w:val="hr-HR"/>
        </w:rPr>
        <w:t>95.368,36</w:t>
      </w:r>
      <w:r w:rsidR="009D451E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403ECBD" w14:textId="4AA02407" w:rsidR="00376985" w:rsidRPr="00C52120" w:rsidRDefault="00376985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Prihodi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u iznosu od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60.571,68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sljedeće: 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>3.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109,87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– naknada za koncesije (vode),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7.915,29</w:t>
      </w:r>
      <w:r w:rsidR="009D451E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– prihodi od zakupa i iznajmljivanja imovine,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41.482,78</w:t>
      </w:r>
      <w:r w:rsidR="003B554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– naknada za korištenje i eksploataciju mineralnih sirovina,</w:t>
      </w:r>
      <w:r w:rsidR="003B554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lovozakupnina,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8.063,74</w:t>
      </w:r>
      <w:r w:rsidR="003B554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– </w:t>
      </w:r>
      <w:r w:rsidR="003B554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ostali prihodi (naknada za nezakonito izgrađene građevine). </w:t>
      </w:r>
    </w:p>
    <w:p w14:paraId="2B5F8D39" w14:textId="2DE82BF4" w:rsidR="003B5544" w:rsidRPr="00C52120" w:rsidRDefault="003B5544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u iznosu od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34.796,68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</w:t>
      </w:r>
      <w:r w:rsidR="008B34B5" w:rsidRPr="00C52120">
        <w:rPr>
          <w:rFonts w:cs="Times New Roman"/>
          <w:color w:val="000000" w:themeColor="text1"/>
          <w:sz w:val="24"/>
          <w:szCs w:val="24"/>
          <w:lang w:val="hr-HR"/>
        </w:rPr>
        <w:t>prihode od iznajmljivanja i zakupa prostora.</w:t>
      </w:r>
    </w:p>
    <w:p w14:paraId="059E0A5F" w14:textId="31BA4B06" w:rsidR="00376985" w:rsidRPr="00C52120" w:rsidRDefault="00376985" w:rsidP="00C52120">
      <w:pPr>
        <w:pStyle w:val="Odlomakpopisa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42</w:t>
      </w:r>
      <w:r w:rsidR="003B5544" w:rsidRPr="00C52120">
        <w:rPr>
          <w:rFonts w:cs="Times New Roman"/>
          <w:color w:val="000000" w:themeColor="text1"/>
          <w:sz w:val="24"/>
          <w:szCs w:val="24"/>
          <w:lang w:val="hr-HR"/>
        </w:rPr>
        <w:t>%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B03FB4" w:rsidRPr="00C52120">
        <w:rPr>
          <w:rFonts w:cs="Times New Roman"/>
          <w:color w:val="000000" w:themeColor="text1"/>
          <w:sz w:val="24"/>
          <w:szCs w:val="24"/>
          <w:lang w:val="hr-HR"/>
        </w:rPr>
        <w:t>godišnjeg plana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1B008DB8" w14:textId="6E481430" w:rsidR="00376985" w:rsidRPr="00C52120" w:rsidRDefault="00376985" w:rsidP="00C52120">
      <w:pPr>
        <w:numPr>
          <w:ilvl w:val="0"/>
          <w:numId w:val="2"/>
        </w:numPr>
        <w:ind w:left="709" w:hanging="283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643 Prihodi od kamata na dane zajmove</w:t>
      </w:r>
      <w:r w:rsidR="008B34B5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136304">
        <w:rPr>
          <w:rFonts w:cs="Times New Roman"/>
          <w:color w:val="000000" w:themeColor="text1"/>
          <w:sz w:val="24"/>
          <w:szCs w:val="24"/>
          <w:u w:val="single"/>
          <w:lang w:val="hr-HR"/>
        </w:rPr>
        <w:t>1.399,17</w:t>
      </w:r>
      <w:r w:rsidR="008B34B5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F498FF3" w14:textId="47AF7C4B" w:rsidR="00376985" w:rsidRPr="00C52120" w:rsidRDefault="008B34B5" w:rsidP="00C52120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se odnose na županijski proračun, a uključuju prihode od kamata na </w:t>
      </w:r>
      <w:r w:rsidR="00376985" w:rsidRPr="00C52120">
        <w:rPr>
          <w:rFonts w:cs="Times New Roman"/>
          <w:color w:val="000000" w:themeColor="text1"/>
          <w:sz w:val="24"/>
          <w:szCs w:val="24"/>
          <w:lang w:val="hr-HR"/>
        </w:rPr>
        <w:t>dane kredite malom i srednjem poduzetništvu kroz kreditne linije putem poslovnih banaka. Realizacija ovisi o povratu obveza od korisnika kredita.</w:t>
      </w:r>
    </w:p>
    <w:p w14:paraId="06141F8F" w14:textId="29E0891E" w:rsidR="007F018D" w:rsidRPr="00C52120" w:rsidRDefault="00376985" w:rsidP="00C52120">
      <w:pPr>
        <w:ind w:left="737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8B34B5" w:rsidRPr="00C52120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="00136304">
        <w:rPr>
          <w:rFonts w:cs="Times New Roman"/>
          <w:color w:val="000000" w:themeColor="text1"/>
          <w:sz w:val="24"/>
          <w:szCs w:val="24"/>
          <w:lang w:val="hr-HR"/>
        </w:rPr>
        <w:t>06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</w:t>
      </w:r>
      <w:r w:rsidR="00B03FB4" w:rsidRPr="00C52120">
        <w:rPr>
          <w:rFonts w:cs="Times New Roman"/>
          <w:color w:val="000000" w:themeColor="text1"/>
          <w:sz w:val="24"/>
          <w:szCs w:val="24"/>
          <w:lang w:val="hr-HR"/>
        </w:rPr>
        <w:t>godišnjeg plana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6B72D336" w14:textId="0E5FEED0" w:rsidR="007F018D" w:rsidRPr="00C52120" w:rsidRDefault="007F018D" w:rsidP="00C52120">
      <w:pPr>
        <w:numPr>
          <w:ilvl w:val="0"/>
          <w:numId w:val="2"/>
        </w:numPr>
        <w:ind w:left="709" w:hanging="283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644 Prihodi od kamata na dane zajmove po protestiranim jamstvima – </w:t>
      </w:r>
      <w:r w:rsidR="00136304">
        <w:rPr>
          <w:rFonts w:cs="Times New Roman"/>
          <w:color w:val="000000" w:themeColor="text1"/>
          <w:sz w:val="24"/>
          <w:szCs w:val="24"/>
          <w:u w:val="single"/>
          <w:lang w:val="hr-HR"/>
        </w:rPr>
        <w:t>1.828,93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F1DBD66" w14:textId="6835172B" w:rsidR="007F018D" w:rsidRDefault="007F018D" w:rsidP="00C52120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Prihodi se odnose proračunske korisnike.</w:t>
      </w:r>
    </w:p>
    <w:p w14:paraId="4CFBBC0F" w14:textId="77777777" w:rsidR="008D77BB" w:rsidRDefault="008D77BB" w:rsidP="00C52120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291F8AF0" w14:textId="77777777" w:rsidR="00F61F81" w:rsidRDefault="00F61F81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14A5E2D" w14:textId="77777777" w:rsidR="00F61F81" w:rsidRDefault="00F61F81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DECA58A" w14:textId="77777777" w:rsidR="00F61F81" w:rsidRDefault="00F61F81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2C6E1FC" w14:textId="4BF12A32" w:rsidR="00376985" w:rsidRPr="00C52120" w:rsidRDefault="00376985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lastRenderedPageBreak/>
        <w:t xml:space="preserve">Prihodi od pristojbi i naknada </w:t>
      </w:r>
      <w:r w:rsidR="00DB6520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(konto 65)</w:t>
      </w:r>
    </w:p>
    <w:p w14:paraId="094F9E45" w14:textId="77777777" w:rsidR="005808C3" w:rsidRPr="00C52120" w:rsidRDefault="005808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13F2ABED" w14:textId="71488485" w:rsidR="00DB6520" w:rsidRPr="00C52120" w:rsidRDefault="00DB6520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od pristojbi i naknada realizirani su u iznosu od </w:t>
      </w:r>
      <w:r w:rsidR="00F97677">
        <w:rPr>
          <w:rFonts w:cs="Times New Roman"/>
          <w:color w:val="000000" w:themeColor="text1"/>
          <w:sz w:val="24"/>
          <w:szCs w:val="24"/>
          <w:lang w:val="hr-HR"/>
        </w:rPr>
        <w:t>3.150.195,49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F97677">
        <w:rPr>
          <w:rFonts w:cs="Times New Roman"/>
          <w:color w:val="000000" w:themeColor="text1"/>
          <w:sz w:val="24"/>
          <w:szCs w:val="24"/>
          <w:lang w:val="hr-HR"/>
        </w:rPr>
        <w:t>56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godišnji plan. U odnosu na </w:t>
      </w:r>
      <w:r w:rsidR="00F97677">
        <w:rPr>
          <w:rFonts w:cs="Times New Roman"/>
          <w:color w:val="000000" w:themeColor="text1"/>
          <w:sz w:val="24"/>
          <w:szCs w:val="24"/>
          <w:lang w:val="hr-HR"/>
        </w:rPr>
        <w:t>isto izvještajno razdoblje u 2023. godini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F97677">
        <w:rPr>
          <w:rFonts w:cs="Times New Roman"/>
          <w:color w:val="000000" w:themeColor="text1"/>
          <w:sz w:val="24"/>
          <w:szCs w:val="24"/>
          <w:lang w:val="hr-HR"/>
        </w:rPr>
        <w:t>manji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F97677">
        <w:rPr>
          <w:rFonts w:cs="Times New Roman"/>
          <w:color w:val="000000" w:themeColor="text1"/>
          <w:sz w:val="24"/>
          <w:szCs w:val="24"/>
          <w:lang w:val="hr-HR"/>
        </w:rPr>
        <w:t>889.089,26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F97677">
        <w:rPr>
          <w:rFonts w:cs="Times New Roman"/>
          <w:color w:val="000000" w:themeColor="text1"/>
          <w:sz w:val="24"/>
          <w:szCs w:val="24"/>
          <w:lang w:val="hr-HR"/>
        </w:rPr>
        <w:t>22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62D85537" w14:textId="7DC4B5D7" w:rsidR="00376985" w:rsidRPr="00C52120" w:rsidRDefault="00376985" w:rsidP="00C52120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C93D62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651 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Administrativne (upravne) pristojbe</w:t>
      </w:r>
      <w:r w:rsidR="00B03FB4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546503">
        <w:rPr>
          <w:rFonts w:cs="Times New Roman"/>
          <w:color w:val="000000" w:themeColor="text1"/>
          <w:sz w:val="24"/>
          <w:szCs w:val="24"/>
          <w:u w:val="single"/>
          <w:lang w:val="hr-HR"/>
        </w:rPr>
        <w:t>110.554,80</w:t>
      </w:r>
      <w:r w:rsidR="00B03FB4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EDA7156" w14:textId="159F89C7" w:rsidR="00B03FB4" w:rsidRPr="00C52120" w:rsidRDefault="00B03FB4" w:rsidP="00C52120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od pristojbi odnose na županijski proračun, a uključuju županijske upravne pristojbe u iznosu od </w:t>
      </w:r>
      <w:r w:rsidR="00537A2B" w:rsidRPr="00C52120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="00546503">
        <w:rPr>
          <w:rFonts w:cs="Times New Roman"/>
          <w:color w:val="000000" w:themeColor="text1"/>
          <w:sz w:val="24"/>
          <w:szCs w:val="24"/>
          <w:lang w:val="hr-HR"/>
        </w:rPr>
        <w:t>05.850,29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EUR, a iznos od </w:t>
      </w:r>
      <w:r w:rsidR="00546503">
        <w:rPr>
          <w:rFonts w:cs="Times New Roman"/>
          <w:color w:val="000000" w:themeColor="text1"/>
          <w:sz w:val="24"/>
          <w:szCs w:val="24"/>
          <w:lang w:val="hr-HR"/>
        </w:rPr>
        <w:t>4.704,51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se odnosi na prihode od prodaje državnih biljega.</w:t>
      </w:r>
    </w:p>
    <w:p w14:paraId="5020AFD8" w14:textId="7DB8E74F" w:rsidR="00B03FB4" w:rsidRPr="00C52120" w:rsidRDefault="00B03FB4" w:rsidP="00C52120">
      <w:pPr>
        <w:ind w:left="72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546503">
        <w:rPr>
          <w:rFonts w:cs="Times New Roman"/>
          <w:color w:val="000000" w:themeColor="text1"/>
          <w:sz w:val="24"/>
          <w:szCs w:val="24"/>
          <w:lang w:val="hr-HR"/>
        </w:rPr>
        <w:t>56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</w:t>
      </w:r>
      <w:r w:rsidR="0019557E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52511126" w14:textId="62D39073" w:rsidR="00376985" w:rsidRPr="00C52120" w:rsidRDefault="00376985" w:rsidP="00C52120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652 Prihodi po posebnim propisima</w:t>
      </w:r>
      <w:r w:rsidR="00B03FB4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546503">
        <w:rPr>
          <w:rFonts w:cs="Times New Roman"/>
          <w:color w:val="000000" w:themeColor="text1"/>
          <w:sz w:val="24"/>
          <w:szCs w:val="24"/>
          <w:u w:val="single"/>
          <w:lang w:val="hr-HR"/>
        </w:rPr>
        <w:t>3.039.640,69</w:t>
      </w:r>
      <w:r w:rsidR="00B03FB4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BA9CD98" w14:textId="25750B4B" w:rsidR="00B03FB4" w:rsidRPr="00C52120" w:rsidRDefault="00B03FB4" w:rsidP="00C52120">
      <w:pPr>
        <w:ind w:left="714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</w:t>
      </w:r>
      <w:r w:rsidR="00B74B58" w:rsidRPr="00C52120">
        <w:rPr>
          <w:rFonts w:cs="Times New Roman"/>
          <w:color w:val="000000" w:themeColor="text1"/>
          <w:sz w:val="24"/>
          <w:szCs w:val="24"/>
          <w:lang w:val="hr-HR"/>
        </w:rPr>
        <w:t>u iznosu od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BE07BF">
        <w:rPr>
          <w:rFonts w:cs="Times New Roman"/>
          <w:color w:val="000000" w:themeColor="text1"/>
          <w:sz w:val="24"/>
          <w:szCs w:val="24"/>
          <w:lang w:val="hr-HR"/>
        </w:rPr>
        <w:t>35.709,14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</w:t>
      </w:r>
      <w:r w:rsidR="00B74B58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prihode od izdavanja dozvola, sklapanje braka, izvlaštenja i prenamjene zemljišta. </w:t>
      </w:r>
    </w:p>
    <w:p w14:paraId="163C4847" w14:textId="5CF6B802" w:rsidR="00B74B58" w:rsidRPr="00C52120" w:rsidRDefault="00B74B58" w:rsidP="00C52120">
      <w:pPr>
        <w:ind w:left="714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u iznosu od </w:t>
      </w:r>
      <w:r w:rsidR="00BE07BF">
        <w:rPr>
          <w:rFonts w:cs="Times New Roman"/>
          <w:color w:val="000000" w:themeColor="text1"/>
          <w:sz w:val="24"/>
          <w:szCs w:val="24"/>
          <w:lang w:val="hr-HR"/>
        </w:rPr>
        <w:t>3.003.931,55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prihode od sufinanciranja cijena usluga</w:t>
      </w:r>
      <w:r w:rsidR="00E275E3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participacije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, dopunsko zdravstveno osiguranje, refundacije s osnove osiguranja </w:t>
      </w:r>
      <w:r w:rsidR="00E275E3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te ostale prihode po posebnim propisima. </w:t>
      </w:r>
    </w:p>
    <w:p w14:paraId="7080CA52" w14:textId="79CDAB55" w:rsidR="004D34D4" w:rsidRPr="00C52120" w:rsidRDefault="004D34D4" w:rsidP="00C52120">
      <w:pPr>
        <w:ind w:left="714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BE07BF">
        <w:rPr>
          <w:rFonts w:cs="Times New Roman"/>
          <w:color w:val="000000" w:themeColor="text1"/>
          <w:sz w:val="24"/>
          <w:szCs w:val="24"/>
          <w:lang w:val="hr-HR"/>
        </w:rPr>
        <w:t>57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8FCC0F5" w14:textId="77777777" w:rsidR="005808C3" w:rsidRPr="00C52120" w:rsidRDefault="005808C3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5BD9E20F" w14:textId="4E777CD4" w:rsidR="00376985" w:rsidRPr="00C52120" w:rsidRDefault="00376985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Prihodi od prodaje proizvoda i pruženih usluga </w:t>
      </w:r>
      <w:r w:rsidR="0025491A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(konto 66)</w:t>
      </w:r>
    </w:p>
    <w:p w14:paraId="11E36792" w14:textId="77777777" w:rsidR="005808C3" w:rsidRPr="00C52120" w:rsidRDefault="005808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0FBF55B4" w14:textId="196408DC" w:rsidR="00473062" w:rsidRPr="00C52120" w:rsidRDefault="00473062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od prodaje proizvoda i pruženih usluga realizirani su u iznosu </w:t>
      </w:r>
      <w:r w:rsidR="00002466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od </w:t>
      </w:r>
      <w:r w:rsidR="00A451FB">
        <w:rPr>
          <w:rFonts w:cs="Times New Roman"/>
          <w:color w:val="000000" w:themeColor="text1"/>
          <w:sz w:val="24"/>
          <w:szCs w:val="24"/>
          <w:lang w:val="hr-HR"/>
        </w:rPr>
        <w:t>3.592.512,95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A451FB">
        <w:rPr>
          <w:rFonts w:cs="Times New Roman"/>
          <w:color w:val="000000" w:themeColor="text1"/>
          <w:sz w:val="24"/>
          <w:szCs w:val="24"/>
          <w:lang w:val="hr-HR"/>
        </w:rPr>
        <w:t>46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godišnji plan. U odnosu na </w:t>
      </w:r>
      <w:r w:rsidR="00A451FB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A451FB"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A451FB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A451FB">
        <w:rPr>
          <w:rFonts w:cs="Times New Roman"/>
          <w:color w:val="000000" w:themeColor="text1"/>
          <w:sz w:val="24"/>
          <w:szCs w:val="24"/>
          <w:lang w:val="hr-HR"/>
        </w:rPr>
        <w:t>manji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 w:rsidR="00A451FB">
        <w:rPr>
          <w:rFonts w:cs="Times New Roman"/>
          <w:color w:val="000000" w:themeColor="text1"/>
          <w:sz w:val="24"/>
          <w:szCs w:val="24"/>
          <w:lang w:val="hr-HR"/>
        </w:rPr>
        <w:t>359.181,73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A451FB">
        <w:rPr>
          <w:rFonts w:cs="Times New Roman"/>
          <w:color w:val="000000" w:themeColor="text1"/>
          <w:sz w:val="24"/>
          <w:szCs w:val="24"/>
          <w:lang w:val="hr-HR"/>
        </w:rPr>
        <w:t>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14CAE95B" w14:textId="44AF9FCD" w:rsidR="004D34D4" w:rsidRPr="00C52120" w:rsidRDefault="004D34D4" w:rsidP="00C52120">
      <w:pPr>
        <w:pStyle w:val="Odlomakpopisa"/>
        <w:numPr>
          <w:ilvl w:val="0"/>
          <w:numId w:val="2"/>
        </w:numPr>
        <w:ind w:left="709"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661 Prihodi od prodaje proizvoda i robe te pruženih usluga – </w:t>
      </w:r>
      <w:r w:rsidR="00A451FB">
        <w:rPr>
          <w:rFonts w:cs="Times New Roman"/>
          <w:color w:val="000000" w:themeColor="text1"/>
          <w:sz w:val="24"/>
          <w:szCs w:val="24"/>
          <w:u w:val="single"/>
          <w:lang w:val="hr-HR"/>
        </w:rPr>
        <w:t>3.515.231,03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E78C903" w14:textId="2C788B78" w:rsidR="004D34D4" w:rsidRPr="00C52120" w:rsidRDefault="004D34D4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se odnose na proračunske korisnike, a uključuju prihode od </w:t>
      </w:r>
      <w:r w:rsidR="00733111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prodaje </w:t>
      </w:r>
      <w:r w:rsidR="00A451FB">
        <w:rPr>
          <w:rFonts w:cs="Times New Roman"/>
          <w:color w:val="000000" w:themeColor="text1"/>
          <w:sz w:val="24"/>
          <w:szCs w:val="24"/>
          <w:lang w:val="hr-HR"/>
        </w:rPr>
        <w:t>proizvoda i robe</w:t>
      </w:r>
      <w:r w:rsidR="00D25830">
        <w:rPr>
          <w:rFonts w:cs="Times New Roman"/>
          <w:color w:val="000000" w:themeColor="text1"/>
          <w:sz w:val="24"/>
          <w:szCs w:val="24"/>
          <w:lang w:val="hr-HR"/>
        </w:rPr>
        <w:t xml:space="preserve"> i pruženih usluga.</w:t>
      </w:r>
    </w:p>
    <w:p w14:paraId="2DDA1554" w14:textId="23E01E47" w:rsidR="00733111" w:rsidRPr="00C52120" w:rsidRDefault="00376985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733111" w:rsidRPr="00C5212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="00D25830">
        <w:rPr>
          <w:rFonts w:cs="Times New Roman"/>
          <w:color w:val="000000" w:themeColor="text1"/>
          <w:sz w:val="24"/>
          <w:szCs w:val="24"/>
          <w:lang w:val="hr-HR"/>
        </w:rPr>
        <w:t>6</w:t>
      </w:r>
      <w:r w:rsidR="00733111"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9385D59" w14:textId="78E62D62" w:rsidR="00733111" w:rsidRPr="00C52120" w:rsidRDefault="00733111" w:rsidP="00C52120">
      <w:pPr>
        <w:pStyle w:val="Odlomakpopisa"/>
        <w:numPr>
          <w:ilvl w:val="0"/>
          <w:numId w:val="2"/>
        </w:numPr>
        <w:ind w:left="709"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663 Donacije od  pravnih i fizičkih osoba izvan općeg proračuna – </w:t>
      </w:r>
      <w:r w:rsidR="00652989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7</w:t>
      </w:r>
      <w:r w:rsidR="00D25830">
        <w:rPr>
          <w:rFonts w:cs="Times New Roman"/>
          <w:color w:val="000000" w:themeColor="text1"/>
          <w:sz w:val="24"/>
          <w:szCs w:val="24"/>
          <w:u w:val="single"/>
          <w:lang w:val="hr-HR"/>
        </w:rPr>
        <w:t>7.281,92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5157F148" w14:textId="76C569F1" w:rsidR="00733111" w:rsidRPr="00C52120" w:rsidRDefault="00733111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Iznos od </w:t>
      </w:r>
      <w:r w:rsidR="00D25830">
        <w:rPr>
          <w:rFonts w:cs="Times New Roman"/>
          <w:color w:val="000000" w:themeColor="text1"/>
          <w:sz w:val="24"/>
          <w:szCs w:val="24"/>
          <w:lang w:val="hr-HR"/>
        </w:rPr>
        <w:t>600,00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odnosi se na županijski proračun, a uključuje aktivirana jamstva po studentskim kreditima.</w:t>
      </w:r>
    </w:p>
    <w:p w14:paraId="5B081FBF" w14:textId="751B2F8A" w:rsidR="00733111" w:rsidRPr="00C52120" w:rsidRDefault="00733111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Donacije u iznosu od </w:t>
      </w:r>
      <w:r w:rsidR="00D25830">
        <w:rPr>
          <w:rFonts w:cs="Times New Roman"/>
          <w:color w:val="000000" w:themeColor="text1"/>
          <w:sz w:val="24"/>
          <w:szCs w:val="24"/>
          <w:lang w:val="hr-HR"/>
        </w:rPr>
        <w:t>76.681,92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donacije od fizičkih osoba, tekuće i kapitalne donacije od trgovačkih društava te tekuće i kapitalne donacije od subjekata izvan općeg proračuna.</w:t>
      </w:r>
    </w:p>
    <w:p w14:paraId="50C24E1D" w14:textId="35681BC5" w:rsidR="00376985" w:rsidRPr="00C52120" w:rsidRDefault="00733111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047851">
        <w:rPr>
          <w:rFonts w:cs="Times New Roman"/>
          <w:color w:val="000000" w:themeColor="text1"/>
          <w:sz w:val="24"/>
          <w:szCs w:val="24"/>
          <w:lang w:val="hr-HR"/>
        </w:rPr>
        <w:t>45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godišnjeg plana. </w:t>
      </w:r>
    </w:p>
    <w:p w14:paraId="63921658" w14:textId="77777777" w:rsidR="005808C3" w:rsidRPr="00C52120" w:rsidRDefault="005808C3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0EDDF23" w14:textId="5C0915B1" w:rsidR="00733111" w:rsidRPr="00C52120" w:rsidRDefault="00733111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Prihodi od HZZO-a na temelju ugovornih obveza (konto 6</w:t>
      </w:r>
      <w:r w:rsidR="00E2724E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7</w:t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)</w:t>
      </w:r>
    </w:p>
    <w:p w14:paraId="44021532" w14:textId="77777777" w:rsidR="005808C3" w:rsidRPr="00C52120" w:rsidRDefault="005808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6095F650" w14:textId="586D512D" w:rsidR="00733111" w:rsidRPr="00C52120" w:rsidRDefault="00733111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</w:t>
      </w:r>
      <w:r w:rsidR="00E2724E" w:rsidRPr="00C52120">
        <w:rPr>
          <w:rFonts w:cs="Times New Roman"/>
          <w:color w:val="000000" w:themeColor="text1"/>
          <w:sz w:val="24"/>
          <w:szCs w:val="24"/>
          <w:lang w:val="hr-HR"/>
        </w:rPr>
        <w:t>HZZO-a na temelju ugovornih obveza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realizirani su u iznosu od </w:t>
      </w:r>
      <w:r w:rsidR="00047851">
        <w:rPr>
          <w:rFonts w:cs="Times New Roman"/>
          <w:color w:val="000000" w:themeColor="text1"/>
          <w:sz w:val="24"/>
          <w:szCs w:val="24"/>
          <w:lang w:val="hr-HR"/>
        </w:rPr>
        <w:t>20.285.946,82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047851">
        <w:rPr>
          <w:rFonts w:cs="Times New Roman"/>
          <w:color w:val="000000" w:themeColor="text1"/>
          <w:sz w:val="24"/>
          <w:szCs w:val="24"/>
          <w:lang w:val="hr-HR"/>
        </w:rPr>
        <w:t>43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godišnji plan. U odnosu </w:t>
      </w:r>
      <w:r w:rsidR="00047851">
        <w:rPr>
          <w:rFonts w:cs="Times New Roman"/>
          <w:color w:val="000000" w:themeColor="text1"/>
          <w:sz w:val="24"/>
          <w:szCs w:val="24"/>
          <w:lang w:val="hr-HR"/>
        </w:rPr>
        <w:t xml:space="preserve">isto izvještajno razdoblje u 2023. godini </w:t>
      </w:r>
      <w:r w:rsidR="00DE7335">
        <w:rPr>
          <w:rFonts w:cs="Times New Roman"/>
          <w:color w:val="000000" w:themeColor="text1"/>
          <w:sz w:val="24"/>
          <w:szCs w:val="24"/>
          <w:lang w:val="hr-HR"/>
        </w:rPr>
        <w:t>manji su za 6.291.797,59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ili za </w:t>
      </w:r>
      <w:r w:rsidR="00DE7335">
        <w:rPr>
          <w:rFonts w:cs="Times New Roman"/>
          <w:color w:val="000000" w:themeColor="text1"/>
          <w:sz w:val="24"/>
          <w:szCs w:val="24"/>
          <w:lang w:val="hr-HR"/>
        </w:rPr>
        <w:t>24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74174888" w14:textId="64A98369" w:rsidR="00733111" w:rsidRPr="00C52120" w:rsidRDefault="00733111" w:rsidP="00C52120">
      <w:pPr>
        <w:pStyle w:val="Odlomakpopisa"/>
        <w:numPr>
          <w:ilvl w:val="0"/>
          <w:numId w:val="2"/>
        </w:numPr>
        <w:ind w:left="709"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</w:t>
      </w:r>
      <w:r w:rsidR="003D3E74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73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Prihodi </w:t>
      </w:r>
      <w:r w:rsidR="003D3E74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od HZZO-a na temelju ugovornih obveza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 </w:t>
      </w:r>
      <w:r w:rsidR="00DE7335">
        <w:rPr>
          <w:rFonts w:cs="Times New Roman"/>
          <w:color w:val="000000" w:themeColor="text1"/>
          <w:sz w:val="24"/>
          <w:szCs w:val="24"/>
          <w:u w:val="single"/>
          <w:lang w:val="hr-HR"/>
        </w:rPr>
        <w:t>20.285.946,82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C4671B5" w14:textId="2780B2C5" w:rsidR="00733111" w:rsidRPr="00C52120" w:rsidRDefault="00733111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se odnose na proračunske korisnike, a uključuju prihode </w:t>
      </w:r>
      <w:r w:rsidR="003D3E74" w:rsidRPr="00C52120">
        <w:rPr>
          <w:rFonts w:cs="Times New Roman"/>
          <w:color w:val="000000" w:themeColor="text1"/>
          <w:sz w:val="24"/>
          <w:szCs w:val="24"/>
          <w:lang w:val="hr-HR"/>
        </w:rPr>
        <w:t>od Hrvatskog zavoda za zdravstveno osiguranje na temelju ugovornih obveza.</w:t>
      </w:r>
    </w:p>
    <w:p w14:paraId="62278388" w14:textId="7E187E24" w:rsidR="00733111" w:rsidRPr="00C52120" w:rsidRDefault="00733111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DE7335">
        <w:rPr>
          <w:rFonts w:cs="Times New Roman"/>
          <w:color w:val="000000" w:themeColor="text1"/>
          <w:sz w:val="24"/>
          <w:szCs w:val="24"/>
          <w:lang w:val="hr-HR"/>
        </w:rPr>
        <w:t>43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34ACE84" w14:textId="77777777" w:rsidR="005808C3" w:rsidRPr="00C52120" w:rsidRDefault="005808C3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93B8141" w14:textId="00AB16F2" w:rsidR="00376985" w:rsidRPr="00C52120" w:rsidRDefault="00DF3929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Kazne, upravne mjere i ostali prihodi</w:t>
      </w:r>
      <w:r w:rsidR="00376985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</w:t>
      </w:r>
      <w:r w:rsidR="003D3E74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(konto 68) </w:t>
      </w:r>
    </w:p>
    <w:p w14:paraId="5DA6D079" w14:textId="77777777" w:rsidR="005808C3" w:rsidRPr="00C52120" w:rsidRDefault="005808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9F38C9C" w14:textId="2882273B" w:rsidR="003D3E74" w:rsidRPr="00C52120" w:rsidRDefault="00DF3929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>Prihodi su</w:t>
      </w:r>
      <w:r w:rsidR="003D3E7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realizirani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28.866,85</w:t>
      </w:r>
      <w:r w:rsidR="003D3E7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525A95" w:rsidRPr="00C52120">
        <w:rPr>
          <w:rFonts w:cs="Times New Roman"/>
          <w:color w:val="000000" w:themeColor="text1"/>
          <w:sz w:val="24"/>
          <w:szCs w:val="24"/>
          <w:lang w:val="hr-HR"/>
        </w:rPr>
        <w:t>1</w:t>
      </w:r>
      <w:r>
        <w:rPr>
          <w:rFonts w:cs="Times New Roman"/>
          <w:color w:val="000000" w:themeColor="text1"/>
          <w:sz w:val="24"/>
          <w:szCs w:val="24"/>
          <w:lang w:val="hr-HR"/>
        </w:rPr>
        <w:t>14</w:t>
      </w:r>
      <w:r w:rsidR="003D3E7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>isto izvještajno razdoblje u 2023. godini veći</w:t>
      </w:r>
      <w:r w:rsidR="003D3E7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6.354,38</w:t>
      </w:r>
      <w:r w:rsidR="003D3E74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>
        <w:rPr>
          <w:rFonts w:cs="Times New Roman"/>
          <w:color w:val="000000" w:themeColor="text1"/>
          <w:sz w:val="24"/>
          <w:szCs w:val="24"/>
          <w:lang w:val="hr-HR"/>
        </w:rPr>
        <w:t>28</w:t>
      </w:r>
      <w:r w:rsidR="003D3E74"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58315A59" w14:textId="630B4BCC" w:rsidR="004575E1" w:rsidRPr="00C52120" w:rsidRDefault="004575E1" w:rsidP="00C52120">
      <w:pPr>
        <w:pStyle w:val="Odlomakpopisa"/>
        <w:numPr>
          <w:ilvl w:val="0"/>
          <w:numId w:val="2"/>
        </w:numPr>
        <w:ind w:left="709"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681 Kazne i upravne mjere – </w:t>
      </w:r>
      <w:r w:rsidR="00DF3929">
        <w:rPr>
          <w:rFonts w:cs="Times New Roman"/>
          <w:color w:val="000000" w:themeColor="text1"/>
          <w:sz w:val="24"/>
          <w:szCs w:val="24"/>
          <w:u w:val="single"/>
          <w:lang w:val="hr-HR"/>
        </w:rPr>
        <w:t>602,07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A67297A" w14:textId="3E0039DD" w:rsidR="004575E1" w:rsidRPr="00C52120" w:rsidRDefault="004575E1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>Prihodi se odnose na proračunske korisnike.</w:t>
      </w:r>
    </w:p>
    <w:p w14:paraId="699D7228" w14:textId="2CE8EDB4" w:rsidR="004575E1" w:rsidRPr="00C52120" w:rsidRDefault="004575E1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DF3929">
        <w:rPr>
          <w:rFonts w:cs="Times New Roman"/>
          <w:color w:val="000000" w:themeColor="text1"/>
          <w:sz w:val="24"/>
          <w:szCs w:val="24"/>
          <w:lang w:val="hr-HR"/>
        </w:rPr>
        <w:t>60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F6616F6" w14:textId="3430F237" w:rsidR="003D3E74" w:rsidRPr="00C52120" w:rsidRDefault="003D3E74" w:rsidP="00C52120">
      <w:pPr>
        <w:pStyle w:val="Odlomakpopisa"/>
        <w:numPr>
          <w:ilvl w:val="0"/>
          <w:numId w:val="2"/>
        </w:numPr>
        <w:ind w:left="709"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6</w:t>
      </w:r>
      <w:r w:rsidR="00BC57FC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83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</w:t>
      </w:r>
      <w:r w:rsidR="00BC57FC"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Ostali prihodi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 </w:t>
      </w:r>
      <w:r w:rsidR="00FA1898">
        <w:rPr>
          <w:rFonts w:cs="Times New Roman"/>
          <w:color w:val="000000" w:themeColor="text1"/>
          <w:sz w:val="24"/>
          <w:szCs w:val="24"/>
          <w:u w:val="single"/>
          <w:lang w:val="hr-HR"/>
        </w:rPr>
        <w:t>28.264,78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A8BB07D" w14:textId="2D3ABFED" w:rsidR="003D3E74" w:rsidRPr="00C52120" w:rsidRDefault="003D3E74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Prihodi</w:t>
      </w:r>
      <w:r w:rsidR="00FA1898">
        <w:rPr>
          <w:rFonts w:cs="Times New Roman"/>
          <w:color w:val="000000" w:themeColor="text1"/>
          <w:sz w:val="24"/>
          <w:szCs w:val="24"/>
          <w:lang w:val="hr-HR"/>
        </w:rPr>
        <w:t xml:space="preserve"> se</w:t>
      </w:r>
      <w:r w:rsidR="00BC57FC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odnose na proračunske korisnike.</w:t>
      </w:r>
    </w:p>
    <w:p w14:paraId="4BFE6C13" w14:textId="5CA35A2F" w:rsidR="003D3E74" w:rsidRPr="00C52120" w:rsidRDefault="003D3E74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F276C9" w:rsidRPr="00C52120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="00FA1898">
        <w:rPr>
          <w:rFonts w:cs="Times New Roman"/>
          <w:color w:val="000000" w:themeColor="text1"/>
          <w:sz w:val="24"/>
          <w:szCs w:val="24"/>
          <w:lang w:val="hr-HR"/>
        </w:rPr>
        <w:t>17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211C747" w14:textId="77777777" w:rsidR="00B432EC" w:rsidRDefault="00B432E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5DE0323A" w14:textId="146AD8F4" w:rsidR="00D50123" w:rsidRPr="00C52120" w:rsidRDefault="00D50123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Prihodi od prodaje neproizvedene dugotrajne imovine (konto 71) </w:t>
      </w:r>
    </w:p>
    <w:p w14:paraId="7CF3D5F3" w14:textId="4B3320CE" w:rsidR="00D50123" w:rsidRPr="00C52120" w:rsidRDefault="00D5012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od prodaje neproizvedene dugotrajne imovine realizirani su u iznosu od </w:t>
      </w:r>
      <w:r w:rsidR="00861FB3">
        <w:rPr>
          <w:rFonts w:cs="Times New Roman"/>
          <w:color w:val="000000" w:themeColor="text1"/>
          <w:sz w:val="24"/>
          <w:szCs w:val="24"/>
          <w:lang w:val="hr-HR"/>
        </w:rPr>
        <w:t>0,00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861FB3">
        <w:rPr>
          <w:rFonts w:cs="Times New Roman"/>
          <w:color w:val="000000" w:themeColor="text1"/>
          <w:sz w:val="24"/>
          <w:szCs w:val="24"/>
          <w:lang w:val="hr-HR"/>
        </w:rPr>
        <w:t xml:space="preserve">, dok su u istom izvještajnom razdoblju u 2023. godini isti realizirani u iznosu od 32.149,40 </w:t>
      </w:r>
      <w:r w:rsidR="003777BD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="00861FB3">
        <w:rPr>
          <w:rFonts w:cs="Times New Roman"/>
          <w:color w:val="000000" w:themeColor="text1"/>
          <w:sz w:val="24"/>
          <w:szCs w:val="24"/>
          <w:lang w:val="hr-HR"/>
        </w:rPr>
        <w:t>UR</w:t>
      </w:r>
      <w:r w:rsidR="003777BD">
        <w:rPr>
          <w:rFonts w:cs="Times New Roman"/>
          <w:color w:val="000000" w:themeColor="text1"/>
          <w:sz w:val="24"/>
          <w:szCs w:val="24"/>
          <w:lang w:val="hr-HR"/>
        </w:rPr>
        <w:t xml:space="preserve"> (dosuđena imovina </w:t>
      </w:r>
      <w:r w:rsidR="008E2533">
        <w:rPr>
          <w:rFonts w:cs="Times New Roman"/>
          <w:color w:val="000000" w:themeColor="text1"/>
          <w:sz w:val="24"/>
          <w:szCs w:val="24"/>
          <w:lang w:val="hr-HR"/>
        </w:rPr>
        <w:t xml:space="preserve">- </w:t>
      </w:r>
      <w:r w:rsidR="003777BD">
        <w:rPr>
          <w:rFonts w:cs="Times New Roman"/>
          <w:color w:val="000000" w:themeColor="text1"/>
          <w:sz w:val="24"/>
          <w:szCs w:val="24"/>
          <w:lang w:val="hr-HR"/>
        </w:rPr>
        <w:t>zemljište po sudskoj presudi</w:t>
      </w:r>
      <w:r w:rsidR="008E2533">
        <w:rPr>
          <w:rFonts w:cs="Times New Roman"/>
          <w:color w:val="000000" w:themeColor="text1"/>
          <w:sz w:val="24"/>
          <w:szCs w:val="24"/>
          <w:lang w:val="hr-HR"/>
        </w:rPr>
        <w:t>)</w:t>
      </w:r>
      <w:r w:rsidR="00861FB3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</w:p>
    <w:p w14:paraId="50C96C40" w14:textId="77777777" w:rsidR="005808C3" w:rsidRPr="00C52120" w:rsidRDefault="005808C3" w:rsidP="00C52120">
      <w:pPr>
        <w:pStyle w:val="Odlomakpopisa"/>
        <w:ind w:left="0"/>
        <w:contextualSpacing w:val="0"/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77EC659" w14:textId="6592EE36" w:rsidR="00300231" w:rsidRPr="00C52120" w:rsidRDefault="00300231" w:rsidP="00C52120">
      <w:pPr>
        <w:pStyle w:val="Odlomakpopisa"/>
        <w:ind w:left="0"/>
        <w:contextualSpacing w:val="0"/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Prihodi od prodaje proizvedene dugotrajne imovine (konto 72)</w:t>
      </w:r>
    </w:p>
    <w:p w14:paraId="003DA1BE" w14:textId="77777777" w:rsidR="005808C3" w:rsidRPr="00C52120" w:rsidRDefault="005808C3" w:rsidP="00C52120">
      <w:pPr>
        <w:pStyle w:val="Odlomakpopisa"/>
        <w:ind w:left="0"/>
        <w:contextualSpacing w:val="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093FCD45" w14:textId="2D9F6C87" w:rsidR="00300231" w:rsidRPr="00C52120" w:rsidRDefault="00300231" w:rsidP="00C52120">
      <w:pPr>
        <w:pStyle w:val="Odlomakpopisa"/>
        <w:ind w:left="0"/>
        <w:contextualSpacing w:val="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od proizvedene dugotrajne imovine realizirani su u iznosu od </w:t>
      </w:r>
      <w:r w:rsidR="008B5CCA">
        <w:rPr>
          <w:rFonts w:cs="Times New Roman"/>
          <w:color w:val="000000" w:themeColor="text1"/>
          <w:sz w:val="24"/>
          <w:szCs w:val="24"/>
          <w:lang w:val="hr-HR"/>
        </w:rPr>
        <w:t>9.784,51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s </w:t>
      </w:r>
      <w:r w:rsidR="008B5CCA">
        <w:rPr>
          <w:rFonts w:cs="Times New Roman"/>
          <w:color w:val="000000" w:themeColor="text1"/>
          <w:sz w:val="24"/>
          <w:szCs w:val="24"/>
          <w:lang w:val="hr-HR"/>
        </w:rPr>
        <w:t>98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</w:t>
      </w:r>
      <w:r w:rsidR="008B5CCA">
        <w:rPr>
          <w:rFonts w:cs="Times New Roman"/>
          <w:color w:val="000000" w:themeColor="text1"/>
          <w:sz w:val="24"/>
          <w:szCs w:val="24"/>
          <w:lang w:val="hr-HR"/>
        </w:rPr>
        <w:t xml:space="preserve">istom izvještajnom razdoblju u 2023. godini </w:t>
      </w:r>
      <w:r w:rsidR="00BF6B8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veći za </w:t>
      </w:r>
      <w:r w:rsidR="008B5CCA">
        <w:rPr>
          <w:rFonts w:cs="Times New Roman"/>
          <w:color w:val="000000" w:themeColor="text1"/>
          <w:sz w:val="24"/>
          <w:szCs w:val="24"/>
          <w:lang w:val="hr-HR"/>
        </w:rPr>
        <w:t>5.738,28</w:t>
      </w:r>
      <w:r w:rsidR="00540DCD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 w:rsidR="008B5CCA">
        <w:rPr>
          <w:rFonts w:cs="Times New Roman"/>
          <w:color w:val="000000" w:themeColor="text1"/>
          <w:sz w:val="24"/>
          <w:szCs w:val="24"/>
          <w:lang w:val="hr-HR"/>
        </w:rPr>
        <w:t>142</w:t>
      </w:r>
      <w:r w:rsidR="00540DCD"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1B66E189" w14:textId="4D0D7EAB" w:rsidR="00D50123" w:rsidRPr="00C52120" w:rsidRDefault="00D50123" w:rsidP="00C52120">
      <w:pPr>
        <w:pStyle w:val="Odlomakpopisa"/>
        <w:numPr>
          <w:ilvl w:val="0"/>
          <w:numId w:val="2"/>
        </w:numPr>
        <w:ind w:left="709"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721 Prihodi od prodaje građevinskih objekata – </w:t>
      </w:r>
      <w:r w:rsidR="00F62BC6">
        <w:rPr>
          <w:rFonts w:cs="Times New Roman"/>
          <w:color w:val="000000" w:themeColor="text1"/>
          <w:sz w:val="24"/>
          <w:szCs w:val="24"/>
          <w:u w:val="single"/>
          <w:lang w:val="hr-HR"/>
        </w:rPr>
        <w:t>9.082,52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54E70941" w14:textId="4419B8A6" w:rsidR="00D50123" w:rsidRPr="00C52120" w:rsidRDefault="00D50123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u iznosu od </w:t>
      </w:r>
      <w:r w:rsidR="00F62BC6">
        <w:rPr>
          <w:rFonts w:cs="Times New Roman"/>
          <w:color w:val="000000" w:themeColor="text1"/>
          <w:sz w:val="24"/>
          <w:szCs w:val="24"/>
          <w:lang w:val="hr-HR"/>
        </w:rPr>
        <w:t>9.082,52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</w:t>
      </w:r>
      <w:r w:rsidR="008B10FC" w:rsidRPr="00C52120">
        <w:rPr>
          <w:rFonts w:cs="Times New Roman"/>
          <w:color w:val="000000" w:themeColor="text1"/>
          <w:sz w:val="24"/>
          <w:szCs w:val="24"/>
          <w:lang w:val="hr-HR"/>
        </w:rPr>
        <w:t>proračunske korisnike,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a uključuj</w:t>
      </w:r>
      <w:r w:rsidR="008B10FC" w:rsidRPr="00C52120">
        <w:rPr>
          <w:rFonts w:cs="Times New Roman"/>
          <w:color w:val="000000" w:themeColor="text1"/>
          <w:sz w:val="24"/>
          <w:szCs w:val="24"/>
          <w:lang w:val="hr-HR"/>
        </w:rPr>
        <w:t>u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A84B7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prihode od </w:t>
      </w:r>
      <w:r w:rsidR="008B10FC" w:rsidRPr="00C52120">
        <w:rPr>
          <w:rFonts w:cs="Times New Roman"/>
          <w:color w:val="000000" w:themeColor="text1"/>
          <w:sz w:val="24"/>
          <w:szCs w:val="24"/>
          <w:lang w:val="hr-HR"/>
        </w:rPr>
        <w:t>stamben</w:t>
      </w:r>
      <w:r w:rsidR="00A84B7B" w:rsidRPr="00C52120">
        <w:rPr>
          <w:rFonts w:cs="Times New Roman"/>
          <w:color w:val="000000" w:themeColor="text1"/>
          <w:sz w:val="24"/>
          <w:szCs w:val="24"/>
          <w:lang w:val="hr-HR"/>
        </w:rPr>
        <w:t>ih</w:t>
      </w:r>
      <w:r w:rsidR="008B10FC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poslovn</w:t>
      </w:r>
      <w:r w:rsidR="00A84B7B" w:rsidRPr="00C52120">
        <w:rPr>
          <w:rFonts w:cs="Times New Roman"/>
          <w:color w:val="000000" w:themeColor="text1"/>
          <w:sz w:val="24"/>
          <w:szCs w:val="24"/>
          <w:lang w:val="hr-HR"/>
        </w:rPr>
        <w:t>ih</w:t>
      </w:r>
      <w:r w:rsidR="008B10FC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objek</w:t>
      </w:r>
      <w:r w:rsidR="00A84B7B" w:rsidRPr="00C52120">
        <w:rPr>
          <w:rFonts w:cs="Times New Roman"/>
          <w:color w:val="000000" w:themeColor="text1"/>
          <w:sz w:val="24"/>
          <w:szCs w:val="24"/>
          <w:lang w:val="hr-HR"/>
        </w:rPr>
        <w:t>ata</w:t>
      </w:r>
      <w:r w:rsidR="008B10FC"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3E5ADD34" w14:textId="4B89ABB4" w:rsidR="00D50123" w:rsidRPr="00C52120" w:rsidRDefault="00D50123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A84B7B" w:rsidRPr="00C52120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="00F62BC6">
        <w:rPr>
          <w:rFonts w:cs="Times New Roman"/>
          <w:color w:val="000000" w:themeColor="text1"/>
          <w:sz w:val="24"/>
          <w:szCs w:val="24"/>
          <w:lang w:val="hr-HR"/>
        </w:rPr>
        <w:t>35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87AC30F" w14:textId="558B7C53" w:rsidR="008B10FC" w:rsidRPr="00C52120" w:rsidRDefault="008B10FC" w:rsidP="00C52120">
      <w:pPr>
        <w:pStyle w:val="Odlomakpopisa"/>
        <w:numPr>
          <w:ilvl w:val="0"/>
          <w:numId w:val="2"/>
        </w:numPr>
        <w:ind w:left="709"/>
        <w:jc w:val="both"/>
        <w:rPr>
          <w:rFonts w:cs="Times New Roman"/>
          <w:b/>
          <w:bCs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723 Prihodi od prodaje prijevoznih sredstava – </w:t>
      </w:r>
      <w:r w:rsidR="00F62BC6">
        <w:rPr>
          <w:rFonts w:cs="Times New Roman"/>
          <w:color w:val="000000" w:themeColor="text1"/>
          <w:sz w:val="24"/>
          <w:szCs w:val="24"/>
          <w:u w:val="single"/>
          <w:lang w:val="hr-HR"/>
        </w:rPr>
        <w:t>701,99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89A015E" w14:textId="33C7B091" w:rsidR="008B10FC" w:rsidRPr="00C52120" w:rsidRDefault="008B10FC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Prihodi se odnose na proračunske korisnike.</w:t>
      </w:r>
    </w:p>
    <w:p w14:paraId="388D54B1" w14:textId="18570A3E" w:rsidR="00D50123" w:rsidRPr="00C52120" w:rsidRDefault="008B10FC" w:rsidP="00C52120">
      <w:pPr>
        <w:pStyle w:val="Odlomakpopisa"/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Navedeni iznos predstavlja </w:t>
      </w:r>
      <w:r w:rsidR="004D314A">
        <w:rPr>
          <w:rFonts w:cs="Times New Roman"/>
          <w:color w:val="000000" w:themeColor="text1"/>
          <w:sz w:val="24"/>
          <w:szCs w:val="24"/>
          <w:lang w:val="hr-HR"/>
        </w:rPr>
        <w:t>22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6B7AFD5" w14:textId="77777777" w:rsidR="005808C3" w:rsidRPr="00C52120" w:rsidRDefault="005808C3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CA58BDC" w14:textId="5772B5DC" w:rsidR="00BC7DB7" w:rsidRPr="00C52120" w:rsidRDefault="00FE7CB0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Prihodi poslovanja (županijski dio)</w:t>
      </w:r>
    </w:p>
    <w:p w14:paraId="76AE23B9" w14:textId="77777777" w:rsidR="005808C3" w:rsidRPr="00C52120" w:rsidRDefault="005808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6503E320" w14:textId="612D38EF" w:rsidR="00F90537" w:rsidRPr="00F62BC6" w:rsidRDefault="00EC5E6D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U </w:t>
      </w:r>
      <w:r w:rsidR="00F62BC6">
        <w:rPr>
          <w:rFonts w:cs="Times New Roman"/>
          <w:color w:val="000000" w:themeColor="text1"/>
          <w:sz w:val="24"/>
          <w:szCs w:val="24"/>
          <w:lang w:val="hr-HR"/>
        </w:rPr>
        <w:t>razdoblju 01.01.</w:t>
      </w:r>
      <w:r w:rsidR="000A66DD">
        <w:rPr>
          <w:rFonts w:cs="Times New Roman"/>
          <w:color w:val="000000" w:themeColor="text1"/>
          <w:sz w:val="24"/>
          <w:szCs w:val="24"/>
          <w:lang w:val="hr-HR"/>
        </w:rPr>
        <w:t xml:space="preserve"> - </w:t>
      </w:r>
      <w:r w:rsidR="00F62BC6">
        <w:rPr>
          <w:rFonts w:cs="Times New Roman"/>
          <w:color w:val="000000" w:themeColor="text1"/>
          <w:sz w:val="24"/>
          <w:szCs w:val="24"/>
          <w:lang w:val="hr-HR"/>
        </w:rPr>
        <w:t xml:space="preserve">30.06.2024. godine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ostvareni su</w:t>
      </w:r>
      <w:r w:rsidR="003F1B6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ukupni prihodi u iznosu od </w:t>
      </w:r>
      <w:r w:rsidR="00F62BC6">
        <w:rPr>
          <w:rFonts w:cs="Times New Roman"/>
          <w:color w:val="000000" w:themeColor="text1"/>
          <w:sz w:val="24"/>
          <w:szCs w:val="24"/>
          <w:lang w:val="hr-HR"/>
        </w:rPr>
        <w:t>25.623.027,01</w:t>
      </w:r>
      <w:r w:rsidR="000A66DD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3F1B6F" w:rsidRPr="00C52120">
        <w:rPr>
          <w:rFonts w:cs="Times New Roman"/>
          <w:color w:val="000000" w:themeColor="text1"/>
          <w:sz w:val="24"/>
          <w:szCs w:val="24"/>
          <w:lang w:val="hr-HR"/>
        </w:rPr>
        <w:t>EUR, od čega se na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prihod</w:t>
      </w:r>
      <w:r w:rsidR="003F1B6F" w:rsidRPr="00C52120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="00EB769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poslovanja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3F1B6F" w:rsidRPr="00C52120">
        <w:rPr>
          <w:rFonts w:cs="Times New Roman"/>
          <w:color w:val="000000" w:themeColor="text1"/>
          <w:sz w:val="24"/>
          <w:szCs w:val="24"/>
          <w:lang w:val="hr-HR"/>
        </w:rPr>
        <w:t>odnosi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F62BC6">
        <w:rPr>
          <w:rFonts w:cs="Times New Roman"/>
          <w:color w:val="000000" w:themeColor="text1"/>
          <w:sz w:val="24"/>
          <w:szCs w:val="24"/>
          <w:lang w:val="hr-HR"/>
        </w:rPr>
        <w:t>cjelokupni iznos od 25.623.027,01</w:t>
      </w:r>
      <w:r w:rsidR="00EB769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F62BC6">
        <w:rPr>
          <w:rFonts w:cs="Times New Roman"/>
          <w:color w:val="000000" w:themeColor="text1"/>
          <w:sz w:val="24"/>
          <w:szCs w:val="24"/>
          <w:lang w:val="hr-HR"/>
        </w:rPr>
        <w:t xml:space="preserve">, a realizacije prihoda od prodaje nefinancijske imovine nema. </w:t>
      </w:r>
      <w:r w:rsidR="008C53B5" w:rsidRPr="00C52120">
        <w:rPr>
          <w:rFonts w:cs="Times New Roman"/>
          <w:color w:val="000000" w:themeColor="text1"/>
          <w:sz w:val="24"/>
          <w:szCs w:val="24"/>
          <w:lang w:val="hr-HR"/>
        </w:rPr>
        <w:t>Detaljniji prikaz izvršenja prihoda</w:t>
      </w:r>
      <w:r w:rsidR="003F1B6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županijskog proračuna</w:t>
      </w:r>
      <w:r w:rsidR="008C53B5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za </w:t>
      </w:r>
      <w:r w:rsidR="00607C8B">
        <w:rPr>
          <w:rFonts w:cs="Times New Roman"/>
          <w:color w:val="000000" w:themeColor="text1"/>
          <w:sz w:val="24"/>
          <w:szCs w:val="24"/>
          <w:lang w:val="hr-HR"/>
        </w:rPr>
        <w:t>razdoblje od 01.01. – 30.06.2024. godine d</w:t>
      </w:r>
      <w:r w:rsidR="008C53B5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an je u Tablici </w:t>
      </w:r>
      <w:r w:rsidR="00F728C0">
        <w:rPr>
          <w:rFonts w:cs="Times New Roman"/>
          <w:color w:val="000000" w:themeColor="text1"/>
          <w:sz w:val="24"/>
          <w:szCs w:val="24"/>
          <w:lang w:val="hr-HR"/>
        </w:rPr>
        <w:t>2</w:t>
      </w:r>
      <w:r w:rsidR="008C53B5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</w:p>
    <w:p w14:paraId="1D4B9BEE" w14:textId="77777777" w:rsidR="000C18B5" w:rsidRPr="00C52120" w:rsidRDefault="000C18B5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C47489B" w14:textId="733B8404" w:rsidR="00B4470B" w:rsidRPr="00C52120" w:rsidRDefault="00B4470B" w:rsidP="006D3AE7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Tablica </w:t>
      </w:r>
      <w:r w:rsidR="00A15625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2</w:t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. Struktura </w:t>
      </w:r>
      <w:r w:rsidR="008E15DC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izvršenja prihoda</w:t>
      </w:r>
      <w:r w:rsidR="00073955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</w:t>
      </w:r>
      <w:r w:rsidR="00854047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(županijski dio)</w:t>
      </w:r>
    </w:p>
    <w:p w14:paraId="32B82C3B" w14:textId="4598EB35" w:rsidR="007C66F4" w:rsidRPr="0019557E" w:rsidRDefault="007C66F4">
      <w:pPr>
        <w:pStyle w:val="Odlomakpopisa"/>
        <w:numPr>
          <w:ilvl w:val="0"/>
          <w:numId w:val="38"/>
        </w:numPr>
        <w:jc w:val="both"/>
        <w:rPr>
          <w:rFonts w:cs="Times New Roman"/>
          <w:b/>
          <w:bCs/>
          <w:color w:val="000000" w:themeColor="text1"/>
          <w:lang w:val="hr-HR"/>
        </w:rPr>
      </w:pPr>
      <w:r w:rsidRPr="0019557E">
        <w:rPr>
          <w:rFonts w:cs="Times New Roman"/>
          <w:color w:val="000000" w:themeColor="text1"/>
          <w:lang w:val="hr-HR"/>
        </w:rPr>
        <w:t>iznosi u €</w:t>
      </w:r>
    </w:p>
    <w:p w14:paraId="1E487EED" w14:textId="77777777" w:rsidR="005808C3" w:rsidRPr="00C52120" w:rsidRDefault="005808C3" w:rsidP="00C52120">
      <w:pPr>
        <w:pStyle w:val="Odlomakpopisa"/>
        <w:ind w:left="7440"/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3A25FF8" w14:textId="03315E13" w:rsidR="005500F8" w:rsidRDefault="00E244C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E244C3">
        <w:rPr>
          <w:noProof/>
        </w:rPr>
        <w:drawing>
          <wp:inline distT="0" distB="0" distL="0" distR="0" wp14:anchorId="266D1693" wp14:editId="243CBD4B">
            <wp:extent cx="5462546" cy="2834840"/>
            <wp:effectExtent l="0" t="0" r="5080" b="3810"/>
            <wp:docPr id="123243075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207" cy="283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D423B" w14:textId="0ADA0991" w:rsidR="003311E1" w:rsidRDefault="008C53B5" w:rsidP="00C52120">
      <w:pPr>
        <w:jc w:val="both"/>
        <w:rPr>
          <w:rFonts w:cs="Times New Roman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>Prihode poslovanja Krapinsko-zagorske županije čine prihodi od poreza, pomoći iz inozemstva i od subjekata unutar općeg proračuna, prihodi od imovine, prihodi od upravnih i administrativnih pristojbi, pristojbi po posebnim propisima i naknada, prihodi od prodaje proizvoda i roba te pruženih usluga i ostali prihodi. Najveći udio u ukupnim prihodima</w:t>
      </w:r>
      <w:r w:rsidR="006D773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u 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>razdoblju od 01.01. – 30.06.2024. godine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čine pomoći iz inozemstva i od subjekata unutar općeg proračuna, i to 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>16.048.729,97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EUR. Zatim slijede prihodi od poreza 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u iznosu 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>9.359.404,72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EUR, </w:t>
      </w:r>
      <w:r w:rsidR="005500F8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od pristojbi i naknada u iznosu od 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>146.263,94</w:t>
      </w:r>
      <w:r w:rsidR="005500F8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 xml:space="preserve">, </w:t>
      </w:r>
      <w:r w:rsidR="006D773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prihodi od imovine u iznosu od 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>68.028,38</w:t>
      </w:r>
      <w:r w:rsidR="006D773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 xml:space="preserve"> te 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ostali prihodi u iznosu od 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>600,00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Realizacija prihoda </w:t>
      </w:r>
      <w:r w:rsidR="006D773B" w:rsidRPr="00C52120">
        <w:rPr>
          <w:rFonts w:cs="Times New Roman"/>
          <w:color w:val="000000" w:themeColor="text1"/>
          <w:sz w:val="24"/>
          <w:szCs w:val="24"/>
          <w:lang w:val="hr-HR"/>
        </w:rPr>
        <w:t>u</w:t>
      </w:r>
      <w:r w:rsidR="005500F8">
        <w:rPr>
          <w:rFonts w:cs="Times New Roman"/>
          <w:color w:val="000000" w:themeColor="text1"/>
          <w:sz w:val="24"/>
          <w:szCs w:val="24"/>
          <w:lang w:val="hr-HR"/>
        </w:rPr>
        <w:t xml:space="preserve"> razdoblju od 01.01. – 30.06.2024. godine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DC7693" w:rsidRPr="00C52120">
        <w:rPr>
          <w:rFonts w:cs="Times New Roman"/>
          <w:color w:val="000000" w:themeColor="text1"/>
          <w:sz w:val="24"/>
          <w:szCs w:val="24"/>
          <w:lang w:val="hr-HR"/>
        </w:rPr>
        <w:t>predstavlja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46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godišnjeg plana. U odnosu 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na isto izvještajno razdoblje u 2023. godini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>, prihodi</w:t>
      </w:r>
      <w:r w:rsidR="006D773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u 202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="006D773B" w:rsidRPr="00C52120">
        <w:rPr>
          <w:rFonts w:cs="Times New Roman"/>
          <w:color w:val="000000" w:themeColor="text1"/>
          <w:sz w:val="24"/>
          <w:szCs w:val="24"/>
          <w:lang w:val="hr-HR"/>
        </w:rPr>
        <w:t>. godini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ostvareni su 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manje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za 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55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>%</w:t>
      </w:r>
      <w:r w:rsidR="003311E1">
        <w:rPr>
          <w:rFonts w:cs="Times New Roman"/>
          <w:color w:val="000000" w:themeColor="text1"/>
          <w:sz w:val="24"/>
          <w:szCs w:val="24"/>
          <w:lang w:val="hr-HR"/>
        </w:rPr>
        <w:t>. Razlog smanjenja prihoda u 2024. u odnosu na 2023. godini nalazi se u sredstvima Fonda solidarnosti koja su se odnosila na vraćanje u prvobitno stanje stradale infrastrukture od potresa u iznosu od oko 50 milijuna eura.</w:t>
      </w:r>
    </w:p>
    <w:p w14:paraId="7861C38A" w14:textId="28A65B0F" w:rsidR="00745992" w:rsidRPr="00C52120" w:rsidRDefault="00745992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Višak prihoda poslovanja Krapinsko-zagorske županije planiran je u iznosu od 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7.564.829,68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6F4B64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557ABCFE" w14:textId="77777777" w:rsidR="00F64CB3" w:rsidRPr="00C52120" w:rsidRDefault="00F64CB3" w:rsidP="00C52120">
      <w:pPr>
        <w:pStyle w:val="Odlomakpopisa"/>
        <w:ind w:left="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43C0377" w14:textId="37E160E1" w:rsidR="0052153F" w:rsidRPr="00C52120" w:rsidRDefault="0052153F" w:rsidP="00C52120">
      <w:pPr>
        <w:pStyle w:val="Odlomakpopisa"/>
        <w:ind w:left="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Ostvareni ž</w:t>
      </w:r>
      <w:r w:rsidR="008C53B5" w:rsidRPr="00C52120">
        <w:rPr>
          <w:rFonts w:cs="Times New Roman"/>
          <w:color w:val="000000" w:themeColor="text1"/>
          <w:sz w:val="24"/>
          <w:szCs w:val="24"/>
          <w:lang w:val="hr-HR"/>
        </w:rPr>
        <w:t>upanijski prihodi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B502E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u 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razdoblju od 01.01. – 30.06.</w:t>
      </w:r>
      <w:r w:rsidR="00B502E9"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="00B502E9"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iznose </w:t>
      </w:r>
      <w:r w:rsidR="0086391E">
        <w:rPr>
          <w:rFonts w:cs="Times New Roman"/>
          <w:color w:val="000000" w:themeColor="text1"/>
          <w:sz w:val="24"/>
          <w:szCs w:val="24"/>
          <w:lang w:val="hr-HR"/>
        </w:rPr>
        <w:t>25.623.027,01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EUR, a </w:t>
      </w:r>
      <w:r w:rsidR="008C53B5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prema izvorima financiranja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dijele se </w:t>
      </w:r>
      <w:r w:rsidR="000E71B9" w:rsidRPr="00C52120">
        <w:rPr>
          <w:rFonts w:cs="Times New Roman"/>
          <w:color w:val="000000" w:themeColor="text1"/>
          <w:sz w:val="24"/>
          <w:szCs w:val="24"/>
          <w:lang w:val="hr-HR"/>
        </w:rPr>
        <w:t>kako slijedi</w:t>
      </w:r>
      <w:r w:rsidR="00C92A5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: </w:t>
      </w:r>
    </w:p>
    <w:p w14:paraId="5AA1F163" w14:textId="2185BA54" w:rsidR="0052153F" w:rsidRPr="00C52120" w:rsidRDefault="003E36F5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1.1. Opći prihodi i primici 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12.0</w:t>
      </w:r>
      <w:r w:rsidR="00296690">
        <w:rPr>
          <w:rFonts w:cs="Times New Roman"/>
          <w:color w:val="000000" w:themeColor="text1"/>
          <w:sz w:val="24"/>
          <w:szCs w:val="24"/>
          <w:lang w:val="hr-HR"/>
        </w:rPr>
        <w:t>47.190,40</w:t>
      </w:r>
      <w:r w:rsidR="0052153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</w:t>
      </w:r>
    </w:p>
    <w:p w14:paraId="18897C6A" w14:textId="2F2BED16" w:rsidR="0052153F" w:rsidRPr="00C52120" w:rsidRDefault="003E36F5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1.3. Decentralizacija 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3.217.156,90</w:t>
      </w:r>
      <w:r w:rsidR="0052153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</w:t>
      </w:r>
    </w:p>
    <w:p w14:paraId="7A39DD56" w14:textId="3F69B1A2" w:rsidR="0052153F" w:rsidRDefault="003E36F5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1.4.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Decentralizacija – prenamjena-potres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3.978.636,62</w:t>
      </w:r>
      <w:r w:rsidR="0052153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</w:t>
      </w:r>
    </w:p>
    <w:p w14:paraId="557E67B2" w14:textId="3153C4A8" w:rsidR="009901A6" w:rsidRPr="00C52120" w:rsidRDefault="00A1206A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</w:t>
      </w:r>
      <w:r w:rsidR="005E180F">
        <w:rPr>
          <w:rFonts w:cs="Times New Roman"/>
          <w:color w:val="000000" w:themeColor="text1"/>
          <w:sz w:val="24"/>
          <w:szCs w:val="24"/>
          <w:lang w:val="hr-HR"/>
        </w:rPr>
        <w:t xml:space="preserve">1.5. BZ potres 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698.465,40 EUR</w:t>
      </w:r>
    </w:p>
    <w:p w14:paraId="5F1C5428" w14:textId="6DC2675F" w:rsidR="0052153F" w:rsidRPr="00C52120" w:rsidRDefault="00A1206A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3.1.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Vlastiti prihodi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7.915,29</w:t>
      </w:r>
      <w:r w:rsidR="0052153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</w:p>
    <w:p w14:paraId="1A04FB10" w14:textId="6D241A45" w:rsidR="0052153F" w:rsidRPr="00C52120" w:rsidRDefault="003E3854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4.3. Posebne namjene 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10.336,25</w:t>
      </w:r>
      <w:r w:rsidR="0052153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</w:p>
    <w:p w14:paraId="286EEF79" w14:textId="0F23161A" w:rsidR="008C53B5" w:rsidRPr="00C52120" w:rsidRDefault="003E3854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5.2. Ministarstvo 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3.339.040,05</w:t>
      </w:r>
      <w:r w:rsidR="0052153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</w:p>
    <w:p w14:paraId="6E88D8C8" w14:textId="14537931" w:rsidR="00B502E9" w:rsidRPr="00C52120" w:rsidRDefault="003E3854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5.3. Projekti EUR 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35.373,89</w:t>
      </w:r>
      <w:r w:rsidR="00B502E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="00ED48D2">
        <w:rPr>
          <w:rFonts w:cs="Times New Roman"/>
          <w:color w:val="000000" w:themeColor="text1"/>
          <w:sz w:val="24"/>
          <w:szCs w:val="24"/>
          <w:lang w:val="hr-HR"/>
        </w:rPr>
        <w:t>EUR</w:t>
      </w:r>
    </w:p>
    <w:p w14:paraId="35E9B6F9" w14:textId="348F633F" w:rsidR="0052153F" w:rsidRPr="00C52120" w:rsidRDefault="003E3854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5.4. JLS 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29.697,20</w:t>
      </w:r>
      <w:r w:rsidR="0052153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</w:t>
      </w:r>
    </w:p>
    <w:p w14:paraId="4184923F" w14:textId="6EB35561" w:rsidR="0052153F" w:rsidRPr="00C52120" w:rsidRDefault="003E3854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5.5. Fond - </w:t>
      </w:r>
      <w:r w:rsidR="009901A6">
        <w:rPr>
          <w:rFonts w:cs="Times New Roman"/>
          <w:color w:val="000000" w:themeColor="text1"/>
          <w:sz w:val="24"/>
          <w:szCs w:val="24"/>
          <w:lang w:val="hr-HR"/>
        </w:rPr>
        <w:t>4.823,57</w:t>
      </w:r>
      <w:r w:rsidR="0052153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</w:t>
      </w:r>
    </w:p>
    <w:p w14:paraId="53EA6337" w14:textId="43058566" w:rsidR="0052153F" w:rsidRPr="00C52120" w:rsidRDefault="003E3854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5.7.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Ministarstvo-prijenos EU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- </w:t>
      </w:r>
      <w:r w:rsidR="003E36F5">
        <w:rPr>
          <w:rFonts w:cs="Times New Roman"/>
          <w:color w:val="000000" w:themeColor="text1"/>
          <w:sz w:val="24"/>
          <w:szCs w:val="24"/>
          <w:lang w:val="hr-HR"/>
        </w:rPr>
        <w:t>1.953.216,52</w:t>
      </w:r>
      <w:r w:rsidR="0052153F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</w:p>
    <w:p w14:paraId="3E88EDCF" w14:textId="194CCD7B" w:rsidR="00B502E9" w:rsidRPr="00C52120" w:rsidRDefault="003E3854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5.9.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Izvanproračunski korisnik – Hrvatske vode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- </w:t>
      </w:r>
      <w:r w:rsidR="003E36F5">
        <w:rPr>
          <w:rFonts w:cs="Times New Roman"/>
          <w:color w:val="000000" w:themeColor="text1"/>
          <w:sz w:val="24"/>
          <w:szCs w:val="24"/>
          <w:lang w:val="hr-HR"/>
        </w:rPr>
        <w:t>292.786,24</w:t>
      </w:r>
      <w:r w:rsidR="00B502E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</w:t>
      </w:r>
    </w:p>
    <w:p w14:paraId="1C100143" w14:textId="728FD509" w:rsidR="00076339" w:rsidRPr="00C52120" w:rsidRDefault="003E3854" w:rsidP="00C52120">
      <w:pPr>
        <w:pStyle w:val="Odlomakpopisa"/>
        <w:numPr>
          <w:ilvl w:val="0"/>
          <w:numId w:val="2"/>
        </w:numPr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 xml:space="preserve">Izvor 6.1.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Refundacije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- </w:t>
      </w:r>
      <w:r w:rsidR="003E36F5">
        <w:rPr>
          <w:rFonts w:cs="Times New Roman"/>
          <w:color w:val="000000" w:themeColor="text1"/>
          <w:sz w:val="24"/>
          <w:szCs w:val="24"/>
          <w:lang w:val="hr-HR"/>
        </w:rPr>
        <w:t>8.388,68</w:t>
      </w:r>
      <w:r w:rsidR="00B502E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</w:t>
      </w:r>
    </w:p>
    <w:p w14:paraId="7D7D1200" w14:textId="77777777" w:rsidR="001E26A6" w:rsidRPr="00C52120" w:rsidRDefault="001E26A6" w:rsidP="00C52120">
      <w:pPr>
        <w:pStyle w:val="Odlomakpopisa"/>
        <w:ind w:left="851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0AC61914" w14:textId="37897341" w:rsidR="00F64CB3" w:rsidRDefault="0052153F" w:rsidP="00821073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Grafikon 1. Struktura prihoda prema izvorima financiranja</w:t>
      </w:r>
    </w:p>
    <w:p w14:paraId="5A7D9D17" w14:textId="77777777" w:rsidR="00ED48D2" w:rsidRPr="00C52120" w:rsidRDefault="00ED48D2" w:rsidP="00821073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580E307" w14:textId="28CF9763" w:rsidR="0052153F" w:rsidRPr="00C52120" w:rsidRDefault="008C3836" w:rsidP="00C52120">
      <w:pPr>
        <w:jc w:val="center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noProof/>
        </w:rPr>
        <w:drawing>
          <wp:inline distT="0" distB="0" distL="0" distR="0" wp14:anchorId="3EEF899B" wp14:editId="71CA3FA6">
            <wp:extent cx="4492487" cy="2639833"/>
            <wp:effectExtent l="0" t="0" r="3810" b="8255"/>
            <wp:docPr id="1392293580" name="Grafikon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4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089AFD8" w14:textId="77777777" w:rsidR="008C53B5" w:rsidRPr="00C52120" w:rsidRDefault="008C53B5" w:rsidP="00C52120">
      <w:pPr>
        <w:pStyle w:val="Odlomakpopisa"/>
        <w:ind w:left="0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DC2B0D4" w14:textId="3BBE509C" w:rsidR="008C53B5" w:rsidRPr="00C52120" w:rsidRDefault="002B19DC" w:rsidP="00C52120">
      <w:pPr>
        <w:pStyle w:val="Odlomakpopisa"/>
        <w:ind w:left="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Iz grafikona je vidljivo da najveći udio u strukturi prihoda po izvorima financiranja čine </w:t>
      </w:r>
      <w:r w:rsidR="008C3836">
        <w:rPr>
          <w:rFonts w:cs="Times New Roman"/>
          <w:color w:val="000000" w:themeColor="text1"/>
          <w:sz w:val="24"/>
          <w:szCs w:val="24"/>
          <w:lang w:val="hr-HR"/>
        </w:rPr>
        <w:t xml:space="preserve">opći prihodi i primici s 47%, zatim </w:t>
      </w:r>
      <w:proofErr w:type="spellStart"/>
      <w:r w:rsidR="008C3836">
        <w:rPr>
          <w:rFonts w:cs="Times New Roman"/>
          <w:color w:val="000000" w:themeColor="text1"/>
          <w:sz w:val="24"/>
          <w:szCs w:val="24"/>
          <w:lang w:val="hr-HR"/>
        </w:rPr>
        <w:t>slijed</w:t>
      </w:r>
      <w:r w:rsidR="00F740C6">
        <w:rPr>
          <w:rFonts w:cs="Times New Roman"/>
          <w:color w:val="000000" w:themeColor="text1"/>
          <w:sz w:val="24"/>
          <w:szCs w:val="24"/>
          <w:lang w:val="hr-HR"/>
        </w:rPr>
        <w:t>I</w:t>
      </w:r>
      <w:proofErr w:type="spellEnd"/>
      <w:r w:rsidR="008C3836">
        <w:rPr>
          <w:rFonts w:cs="Times New Roman"/>
          <w:color w:val="000000" w:themeColor="text1"/>
          <w:sz w:val="24"/>
          <w:szCs w:val="24"/>
          <w:lang w:val="hr-HR"/>
        </w:rPr>
        <w:t xml:space="preserve"> decentralizacija-prenamjena potres s 15%, decentralizacija s 13%, pomoći iz Ministarstva s 13%, pomoći EU s 8% i beskamatni zajam-potres s 3%.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Ostali prihodi čine 1%, a odnose se na jedinice lokalne samouprave, vlastite prihode, </w:t>
      </w:r>
      <w:r w:rsidR="00C219A0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projekte EU,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donacije</w:t>
      </w:r>
      <w:r w:rsidR="00C219A0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,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Fond za zaštitu okoliša i energetsku učinkovitost</w:t>
      </w:r>
      <w:r w:rsidR="00C219A0" w:rsidRPr="00C52120">
        <w:rPr>
          <w:rFonts w:cs="Times New Roman"/>
          <w:color w:val="000000" w:themeColor="text1"/>
          <w:sz w:val="24"/>
          <w:szCs w:val="24"/>
          <w:lang w:val="hr-HR"/>
        </w:rPr>
        <w:t>, posebne namjene i Hrvatske vode.</w:t>
      </w:r>
    </w:p>
    <w:p w14:paraId="087470E1" w14:textId="77777777" w:rsidR="006A3F06" w:rsidRPr="00C52120" w:rsidRDefault="006A3F06" w:rsidP="00C52120">
      <w:pPr>
        <w:pStyle w:val="Odlomakpopisa"/>
        <w:ind w:left="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C1DD7E6" w14:textId="41069A78" w:rsidR="000F4CE7" w:rsidRPr="00C52120" w:rsidRDefault="000F4CE7" w:rsidP="00C52120">
      <w:pPr>
        <w:pStyle w:val="Odlomakpopisa"/>
        <w:ind w:left="0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Rashodi poslovanja (konsolidirani proračun)</w:t>
      </w:r>
    </w:p>
    <w:p w14:paraId="3C82BA68" w14:textId="058DFD3C" w:rsidR="009F2FC9" w:rsidRPr="00C52120" w:rsidRDefault="009F2FC9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892AA1A" w14:textId="61B7D460" w:rsidR="007F718F" w:rsidRPr="00C52120" w:rsidRDefault="00F740C6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>U razdoblju od 01.01. – 30.06.2024. godine Krapinsko-zagorska županija i njezini proračunski korisnici (županijski proračun + proračunski korisnici) ostvarili su rashode poslovanja u iznosu od 78.438.647,58 EUR i rashode za nabavu nefinancijske imovine u iznosu od 2.907.902,90 EUR</w:t>
      </w:r>
      <w:r w:rsidR="00E82C8E">
        <w:rPr>
          <w:rFonts w:cs="Times New Roman"/>
          <w:color w:val="000000" w:themeColor="text1"/>
          <w:sz w:val="24"/>
          <w:szCs w:val="24"/>
          <w:lang w:val="hr-HR"/>
        </w:rPr>
        <w:t xml:space="preserve"> (Tablica 3).</w:t>
      </w:r>
      <w:r w:rsidR="000F4CE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23B199E4" w14:textId="77777777" w:rsidR="00F64CB3" w:rsidRPr="00C52120" w:rsidRDefault="00F64CB3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D22E8FD" w14:textId="77777777" w:rsidR="00F64CB3" w:rsidRDefault="00232731" w:rsidP="006D3AE7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Tablica 3. Struktura izvršenja rashoda (konsolidirani Proračun)</w:t>
      </w:r>
    </w:p>
    <w:p w14:paraId="74B1F5B5" w14:textId="77777777" w:rsidR="0019557E" w:rsidRPr="00D272CC" w:rsidRDefault="0019557E" w:rsidP="0019557E">
      <w:pPr>
        <w:pStyle w:val="Odlomakpopisa"/>
        <w:numPr>
          <w:ilvl w:val="0"/>
          <w:numId w:val="38"/>
        </w:numPr>
        <w:ind w:left="7230"/>
        <w:jc w:val="both"/>
        <w:rPr>
          <w:rFonts w:cs="Times New Roman"/>
          <w:b/>
          <w:bCs/>
          <w:color w:val="000000" w:themeColor="text1"/>
          <w:lang w:val="hr-HR"/>
        </w:rPr>
      </w:pPr>
      <w:r w:rsidRPr="0019557E">
        <w:rPr>
          <w:rFonts w:cs="Times New Roman"/>
          <w:color w:val="000000" w:themeColor="text1"/>
          <w:lang w:val="hr-HR"/>
        </w:rPr>
        <w:t>iznosi u €</w:t>
      </w:r>
    </w:p>
    <w:p w14:paraId="0C8A7C9F" w14:textId="77777777" w:rsidR="00D272CC" w:rsidRPr="0019557E" w:rsidRDefault="00D272CC" w:rsidP="00D272CC">
      <w:pPr>
        <w:pStyle w:val="Odlomakpopisa"/>
        <w:ind w:left="7230"/>
        <w:jc w:val="both"/>
        <w:rPr>
          <w:rFonts w:cs="Times New Roman"/>
          <w:b/>
          <w:bCs/>
          <w:color w:val="000000" w:themeColor="text1"/>
          <w:lang w:val="hr-HR"/>
        </w:rPr>
      </w:pPr>
    </w:p>
    <w:tbl>
      <w:tblPr>
        <w:tblW w:w="8878" w:type="dxa"/>
        <w:tblLook w:val="04A0" w:firstRow="1" w:lastRow="0" w:firstColumn="1" w:lastColumn="0" w:noHBand="0" w:noVBand="1"/>
      </w:tblPr>
      <w:tblGrid>
        <w:gridCol w:w="3355"/>
        <w:gridCol w:w="1421"/>
        <w:gridCol w:w="1399"/>
        <w:gridCol w:w="1399"/>
        <w:gridCol w:w="1304"/>
      </w:tblGrid>
      <w:tr w:rsidR="00C91352" w:rsidRPr="00C91352" w14:paraId="57350FC2" w14:textId="77777777" w:rsidTr="00D272CC">
        <w:trPr>
          <w:trHeight w:val="593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C6B45C" w14:textId="77777777" w:rsidR="00D272CC" w:rsidRPr="00C91352" w:rsidRDefault="00D272CC" w:rsidP="00D272CC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Brojčana oznaka i naziv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E01F19C" w14:textId="77777777" w:rsidR="00D272CC" w:rsidRPr="00C91352" w:rsidRDefault="00D272CC" w:rsidP="00D272CC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Izvršenje       2023.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B9EAC64" w14:textId="77777777" w:rsidR="00D272CC" w:rsidRPr="00C91352" w:rsidRDefault="00D272CC" w:rsidP="00D272CC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Izvorni plan               2024.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1482D14" w14:textId="77777777" w:rsidR="00D272CC" w:rsidRPr="00C91352" w:rsidRDefault="00D272CC" w:rsidP="00D272CC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Tekući plan                2024.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F62D4F" w14:textId="77777777" w:rsidR="00D272CC" w:rsidRPr="00C91352" w:rsidRDefault="00D272CC" w:rsidP="00D272CC">
            <w:pPr>
              <w:suppressAutoHyphens w:val="0"/>
              <w:jc w:val="center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Izvršenje            2024.</w:t>
            </w:r>
          </w:p>
        </w:tc>
      </w:tr>
      <w:tr w:rsidR="00C91352" w:rsidRPr="00C91352" w14:paraId="1C2D638B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5A13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3 Rashodi poslovanja 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412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106.700.504,69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3C2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148.134.727,15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71FD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148.133.349,36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D300" w14:textId="1BA7513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78.</w:t>
            </w:r>
            <w:r w:rsidR="00B55BCE"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438.647,58</w:t>
            </w:r>
          </w:p>
        </w:tc>
      </w:tr>
      <w:tr w:rsidR="00C91352" w:rsidRPr="00C91352" w14:paraId="1A3B3ABE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9C59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31 Rashodi za zaposlene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B56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49.559.158,18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388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97.291.353,49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0E0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97.236.326,81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CF7F" w14:textId="44E4F509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53.</w:t>
            </w:r>
            <w:r w:rsidR="00B55BCE"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776.222,92</w:t>
            </w:r>
          </w:p>
        </w:tc>
      </w:tr>
      <w:tr w:rsidR="00C91352" w:rsidRPr="00C91352" w14:paraId="7A6425A2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4B62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311 Plaće (Bruto)      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EFE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41.065.532,90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44B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16B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5C9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44.971.485,37</w:t>
            </w:r>
          </w:p>
        </w:tc>
      </w:tr>
      <w:tr w:rsidR="00C91352" w:rsidRPr="00C91352" w14:paraId="6A23B050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9FB3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312 Ostali rashodi za zaposlene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8CF1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1.983.481,81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B738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A5A1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D381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1.981.287,46</w:t>
            </w:r>
          </w:p>
        </w:tc>
      </w:tr>
      <w:tr w:rsidR="00C91352" w:rsidRPr="00C91352" w14:paraId="3A9F3A28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CC98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313 Doprinosi na plaće 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D3C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6.510.143,47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B31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254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661D" w14:textId="47C29702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6.</w:t>
            </w:r>
            <w:r w:rsidR="00B55BCE" w:rsidRPr="00C91352">
              <w:rPr>
                <w:rFonts w:cs="Times New Roman"/>
                <w:sz w:val="18"/>
                <w:szCs w:val="18"/>
                <w:lang w:val="hr-HR" w:eastAsia="hr-HR"/>
              </w:rPr>
              <w:t>823.450,09</w:t>
            </w:r>
          </w:p>
        </w:tc>
      </w:tr>
      <w:tr w:rsidR="00C91352" w:rsidRPr="00C91352" w14:paraId="53D404CD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DF49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32 Materijalni rashodi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A35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20.704.858,07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7CA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33.647.059,17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A97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33.646.184,36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5CA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15.504.477,23</w:t>
            </w:r>
          </w:p>
        </w:tc>
      </w:tr>
      <w:tr w:rsidR="00C91352" w:rsidRPr="00C91352" w14:paraId="14AFCD21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04AB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321 Naknade troškova zaposlenima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F9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2.386.708,89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7818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F6B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23E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2.142.665,46</w:t>
            </w:r>
          </w:p>
        </w:tc>
      </w:tr>
      <w:tr w:rsidR="00C91352" w:rsidRPr="00C91352" w14:paraId="43312FEF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22A9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322 Rashodi za materijal i energiju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85A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7.925.252,44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7D2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5748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2B8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5.095.619,32</w:t>
            </w:r>
          </w:p>
        </w:tc>
      </w:tr>
      <w:tr w:rsidR="00C91352" w:rsidRPr="00C91352" w14:paraId="114E0620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BAAA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323 Rashodi za usluge  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F99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5.656.995,92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6DB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37D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E5BB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4.651.654,81</w:t>
            </w:r>
          </w:p>
        </w:tc>
      </w:tr>
      <w:tr w:rsidR="00C91352" w:rsidRPr="00C91352" w14:paraId="3C38147C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DC3F3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324 Naknade troškova osobama izvan radnog odnosa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48A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116.460,40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D10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5AD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1882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142.847,35</w:t>
            </w:r>
          </w:p>
        </w:tc>
      </w:tr>
      <w:tr w:rsidR="00C91352" w:rsidRPr="00C91352" w14:paraId="06C56E33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AA0B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329 Ostali nespomenuti rashodi poslovanja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4F66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4.619.440,42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C902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1A1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697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3.471.690,29</w:t>
            </w:r>
          </w:p>
        </w:tc>
      </w:tr>
      <w:tr w:rsidR="00C91352" w:rsidRPr="00C91352" w14:paraId="40705BB9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5E30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34 Financijski rashodi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321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155.174,00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E10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324.606,93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356B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325.130,63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1C38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178.636,91</w:t>
            </w:r>
          </w:p>
        </w:tc>
      </w:tr>
      <w:tr w:rsidR="00C91352" w:rsidRPr="00C91352" w14:paraId="0F2022EB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97B5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342 Kamate za primljene kredite i zajmove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C9E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51.395,56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8F6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89E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3572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95.512,35</w:t>
            </w:r>
          </w:p>
        </w:tc>
      </w:tr>
      <w:tr w:rsidR="00C91352" w:rsidRPr="00C91352" w14:paraId="1683F31A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564E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343 Ostali financijski rashodi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CC6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103.778,44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430C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1B16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D7D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83.124,56</w:t>
            </w:r>
          </w:p>
        </w:tc>
      </w:tr>
      <w:tr w:rsidR="00C91352" w:rsidRPr="00C91352" w14:paraId="12CCD79F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F580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35 Subvencije         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0D2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437.752,33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B9A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1.380.268,72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359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1.380.268,72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5CA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567.382,18</w:t>
            </w:r>
          </w:p>
        </w:tc>
      </w:tr>
      <w:tr w:rsidR="00C91352" w:rsidRPr="00C91352" w14:paraId="698672E4" w14:textId="77777777" w:rsidTr="00D272CC">
        <w:trPr>
          <w:trHeight w:val="286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8B2B8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351 Subvencije trgovačkim društvima u javnom sektoru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D3361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65.477,61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8F7B8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3FB6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062AD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27.347,69</w:t>
            </w:r>
          </w:p>
        </w:tc>
      </w:tr>
      <w:tr w:rsidR="00C91352" w:rsidRPr="00C91352" w14:paraId="78A99EB4" w14:textId="77777777" w:rsidTr="00D272CC">
        <w:trPr>
          <w:trHeight w:val="49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922E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352 Subvencije trgovačkim društvima, poljoprivrednicima i obrtnicima izvan javnog sektora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EEA7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372.274,72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C04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C7D0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3A5B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478.405,81</w:t>
            </w:r>
          </w:p>
        </w:tc>
      </w:tr>
      <w:tr w:rsidR="00C91352" w:rsidRPr="00C91352" w14:paraId="36B8F48A" w14:textId="77777777" w:rsidTr="00D272CC">
        <w:trPr>
          <w:trHeight w:val="721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A63F1" w14:textId="1352F490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353 Subvencije trgovačkim društvima, zadrugama, poljoprivrednicima, obrtnicima iz EU sredstava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8D47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B0B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86F3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9D78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61.628,68</w:t>
            </w:r>
          </w:p>
        </w:tc>
      </w:tr>
      <w:tr w:rsidR="00C91352" w:rsidRPr="00C91352" w14:paraId="7F75C88A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A13D8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36 Pomoći dane u inozemstvo i unutar općeg proračuna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2AC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32.618.399,26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B796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2.466.141,95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BE3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2.466.141,95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5F0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4.347.062,34</w:t>
            </w:r>
          </w:p>
        </w:tc>
      </w:tr>
      <w:tr w:rsidR="00C91352" w:rsidRPr="00C91352" w14:paraId="74C536F9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4207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361 Pomoći inozemnim vladama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F5F6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96.396,21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BC0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345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67E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262.668,08</w:t>
            </w:r>
          </w:p>
        </w:tc>
      </w:tr>
      <w:tr w:rsidR="00C91352" w:rsidRPr="00C91352" w14:paraId="66722989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ECC9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363 Pomoći unutar općeg proračuna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BE7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1.135.027,18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1D0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EB9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BDD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480.250,00</w:t>
            </w:r>
          </w:p>
        </w:tc>
      </w:tr>
      <w:tr w:rsidR="00C91352" w:rsidRPr="00C91352" w14:paraId="3030CDDC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68B3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366 Pomoći proračunskim korisnicima drugih proračuna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858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5D9D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08E8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80F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74.013,22</w:t>
            </w:r>
          </w:p>
        </w:tc>
      </w:tr>
      <w:tr w:rsidR="00C91352" w:rsidRPr="00C91352" w14:paraId="4C0E2341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33C2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368 Pomoći temeljem prijenosa EU sredstava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7438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31.290.862,82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33A8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9DB2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869D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299.687,45</w:t>
            </w:r>
          </w:p>
        </w:tc>
      </w:tr>
      <w:tr w:rsidR="00C91352" w:rsidRPr="00C91352" w14:paraId="4E1AF6AD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55F2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369 Prijenosi između proračunskih korisnika istog proračuna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FCE2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96.113,05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2706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B82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284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3.230.443,59</w:t>
            </w:r>
          </w:p>
        </w:tc>
      </w:tr>
      <w:tr w:rsidR="00C91352" w:rsidRPr="00C91352" w14:paraId="1ABCF041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6297B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37 Naknade građanima i kućanstvima na temelju osiguranja i druge naknade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3D5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2.378.296,66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C436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4.571.365,00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3FD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4.571.365,00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9DA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2.281.266,30</w:t>
            </w:r>
          </w:p>
        </w:tc>
      </w:tr>
      <w:tr w:rsidR="00C91352" w:rsidRPr="00C91352" w14:paraId="73D503D7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A642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lastRenderedPageBreak/>
              <w:t xml:space="preserve">372 Ostale naknade građanima i kućanstvima iz proračuna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181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2.378.296,66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8D6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DF70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1FF1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2.281.266,30</w:t>
            </w:r>
          </w:p>
        </w:tc>
      </w:tr>
      <w:tr w:rsidR="00C91352" w:rsidRPr="00C91352" w14:paraId="4B4A3A4E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3E26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38 Ostali rashodi     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192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846.866,19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2BA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8.453.931,89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957D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8.507.931,89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D01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1.783.599,70</w:t>
            </w:r>
          </w:p>
        </w:tc>
      </w:tr>
      <w:tr w:rsidR="00C91352" w:rsidRPr="00C91352" w14:paraId="28073B55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9966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381 Tekuće donacije    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E0C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767.908,05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175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B8D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33A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1.017.421,01</w:t>
            </w:r>
          </w:p>
        </w:tc>
      </w:tr>
      <w:tr w:rsidR="00C91352" w:rsidRPr="00C91352" w14:paraId="55427868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EA4C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382 Kapitalne donacije 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24D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58.932,43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7E5B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6DF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190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750.169,05</w:t>
            </w:r>
          </w:p>
        </w:tc>
      </w:tr>
      <w:tr w:rsidR="00C91352" w:rsidRPr="00C91352" w14:paraId="02D60A24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1268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383 Kazne, penali i naknade štete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1DD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12.858,47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7C1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76A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796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1.997,16</w:t>
            </w:r>
          </w:p>
        </w:tc>
      </w:tr>
      <w:tr w:rsidR="00C91352" w:rsidRPr="00C91352" w14:paraId="519B2F16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BBC0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386 Kapitalne pomoći   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A931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7.167,24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919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4BE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310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14.012,48</w:t>
            </w:r>
          </w:p>
        </w:tc>
      </w:tr>
      <w:tr w:rsidR="00C91352" w:rsidRPr="00C91352" w14:paraId="7737F1A2" w14:textId="77777777" w:rsidTr="00D272CC">
        <w:trPr>
          <w:trHeight w:val="474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52E8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4 Rashodi za nabavu nefinancijske imovine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680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13.348.171,03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5F1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48.856.979,03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C65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48.858.356,82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2C01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2.907.902,90</w:t>
            </w:r>
          </w:p>
        </w:tc>
      </w:tr>
      <w:tr w:rsidR="00C91352" w:rsidRPr="00C91352" w14:paraId="006BEAEB" w14:textId="77777777" w:rsidTr="00D272CC">
        <w:trPr>
          <w:trHeight w:val="474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DDACC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41 Rashodi za nabavu neproizvedene dugotrajne imovine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A332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55.460,65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7BE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225.959,40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EC0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225.959,40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178B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67.224,16</w:t>
            </w:r>
          </w:p>
        </w:tc>
      </w:tr>
      <w:tr w:rsidR="00C91352" w:rsidRPr="00C91352" w14:paraId="255701F6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EE6C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411 Materijalna imovina - prirodna bogatstva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6FC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736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C44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EEE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65.864,10</w:t>
            </w:r>
          </w:p>
        </w:tc>
      </w:tr>
      <w:tr w:rsidR="00C91352" w:rsidRPr="00C91352" w14:paraId="584ABA1D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F424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412 Nematerijalna imovina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BE4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55.460,65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824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F1D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0F0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1.360,06</w:t>
            </w:r>
          </w:p>
        </w:tc>
      </w:tr>
      <w:tr w:rsidR="00C91352" w:rsidRPr="00C91352" w14:paraId="6D446A38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2CF50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42 Rashodi za nabavu proizvedene dugotrajne imovine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15A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7.281.274,68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004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28.207.430,42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CF1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28.208.808,21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14F2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2.046.808,20</w:t>
            </w:r>
          </w:p>
        </w:tc>
      </w:tr>
      <w:tr w:rsidR="00C91352" w:rsidRPr="00C91352" w14:paraId="4891A6E1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CC2B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421 Građevinski objekti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882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6.113.592,41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333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1EC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5326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1.471.336,91</w:t>
            </w:r>
          </w:p>
        </w:tc>
      </w:tr>
      <w:tr w:rsidR="00C91352" w:rsidRPr="00C91352" w14:paraId="7332B21B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E9EC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422 Postrojenja i oprema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B09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783.883,15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70F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757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7B72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409.438,29</w:t>
            </w:r>
          </w:p>
        </w:tc>
      </w:tr>
      <w:tr w:rsidR="00C91352" w:rsidRPr="00C91352" w14:paraId="02865D1A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B303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423 Prijevozna sredstva              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680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325.648,03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008D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E34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2F7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150.511,58</w:t>
            </w:r>
          </w:p>
        </w:tc>
      </w:tr>
      <w:tr w:rsidR="00C91352" w:rsidRPr="00C91352" w14:paraId="68B783EA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E52A2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424 Knjige, umjetnička djela i ostale izložbene vrijednosti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06C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2.950,01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608D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F417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DB4A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4.520,72</w:t>
            </w:r>
          </w:p>
        </w:tc>
      </w:tr>
      <w:tr w:rsidR="00C91352" w:rsidRPr="00C91352" w14:paraId="312BD9F6" w14:textId="77777777" w:rsidTr="00D272CC">
        <w:trPr>
          <w:trHeight w:val="25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A6A3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426 Nematerijalna proizvedena imovina         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9402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55.201,08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CD91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2066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B209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11.000,70</w:t>
            </w:r>
          </w:p>
        </w:tc>
      </w:tr>
      <w:tr w:rsidR="00C91352" w:rsidRPr="00C91352" w14:paraId="1E3329B3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9246" w14:textId="77777777" w:rsidR="00D272CC" w:rsidRPr="00C91352" w:rsidRDefault="00D272CC" w:rsidP="00D272CC">
            <w:pPr>
              <w:suppressAutoHyphens w:val="0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 xml:space="preserve">45 Rashodi za dodatna ulaganja na nefinancijskoj imovini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97473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6.011.435,70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544B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20.423.589,21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9A0E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20.423.589,21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A7C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b/>
                <w:bCs/>
                <w:sz w:val="18"/>
                <w:szCs w:val="18"/>
                <w:lang w:val="hr-HR" w:eastAsia="hr-HR"/>
              </w:rPr>
              <w:t>793.870,54</w:t>
            </w:r>
          </w:p>
        </w:tc>
      </w:tr>
      <w:tr w:rsidR="00C91352" w:rsidRPr="00C91352" w14:paraId="4F4D7D2F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36D4E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451 Dodatna ulaganja na građevinskim objektima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026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6.011.435,70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B1F88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5A1FC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42ADE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739.719,53</w:t>
            </w:r>
          </w:p>
        </w:tc>
      </w:tr>
      <w:tr w:rsidR="00C91352" w:rsidRPr="00C91352" w14:paraId="29C37FB0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85B8C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452 Dodatna ulaganja na postrojenjima i opremi      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D042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C3B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49612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2DE5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51.161,01</w:t>
            </w:r>
          </w:p>
        </w:tc>
      </w:tr>
      <w:tr w:rsidR="00C91352" w:rsidRPr="00C91352" w14:paraId="30A5E412" w14:textId="77777777" w:rsidTr="00D272CC">
        <w:trPr>
          <w:trHeight w:val="489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64014" w14:textId="77777777" w:rsidR="00D272CC" w:rsidRPr="00C91352" w:rsidRDefault="00D272CC" w:rsidP="00D272CC">
            <w:pPr>
              <w:suppressAutoHyphens w:val="0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 xml:space="preserve">454 Dodatna ulaganja za ostalu nefinancijsku imovinu                                                   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52180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2E3FF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185D4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7E7D6" w14:textId="77777777" w:rsidR="00D272CC" w:rsidRPr="00C91352" w:rsidRDefault="00D272CC" w:rsidP="00D272CC">
            <w:pPr>
              <w:suppressAutoHyphens w:val="0"/>
              <w:jc w:val="right"/>
              <w:rPr>
                <w:rFonts w:cs="Times New Roman"/>
                <w:sz w:val="18"/>
                <w:szCs w:val="18"/>
                <w:lang w:val="hr-HR" w:eastAsia="hr-HR"/>
              </w:rPr>
            </w:pPr>
            <w:r w:rsidRPr="00C91352">
              <w:rPr>
                <w:rFonts w:cs="Times New Roman"/>
                <w:sz w:val="18"/>
                <w:szCs w:val="18"/>
                <w:lang w:val="hr-HR" w:eastAsia="hr-HR"/>
              </w:rPr>
              <w:t>2.990,00</w:t>
            </w:r>
          </w:p>
        </w:tc>
      </w:tr>
    </w:tbl>
    <w:p w14:paraId="3C383DD2" w14:textId="00EC1D0B" w:rsidR="00232731" w:rsidRPr="00C52120" w:rsidRDefault="00232731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fldChar w:fldCharType="begin"/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instrText xml:space="preserve"> LINK Excel.Sheet.12 "C:\\Users\\IvanaP\\Desktop\\GODIŠNJE IZVRŠENJE 2023\\Kopija Tablica 1. RASHODI konsolidirano.xlsx" "List1!R11C1:R95C24" \a \f 4 \h  \* MERGEFORMAT </w:instrTex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fldChar w:fldCharType="separate"/>
      </w:r>
    </w:p>
    <w:p w14:paraId="45862BE1" w14:textId="55D82033" w:rsidR="0066622F" w:rsidRPr="0066622F" w:rsidRDefault="00232731" w:rsidP="0066622F">
      <w:pPr>
        <w:jc w:val="both"/>
        <w:rPr>
          <w:rFonts w:cs="Times New Roman"/>
          <w:b/>
          <w:bCs/>
          <w:color w:val="FF0000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fldChar w:fldCharType="end"/>
      </w:r>
    </w:p>
    <w:p w14:paraId="474E1ED2" w14:textId="77777777" w:rsidR="0066622F" w:rsidRPr="00C52120" w:rsidRDefault="0066622F" w:rsidP="0066622F">
      <w:pPr>
        <w:tabs>
          <w:tab w:val="left" w:pos="3858"/>
        </w:tabs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Rashodi za zaposlene (konto 31)</w:t>
      </w:r>
      <w:r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b/>
          <w:bCs/>
          <w:color w:val="000000" w:themeColor="text1"/>
          <w:sz w:val="24"/>
          <w:szCs w:val="24"/>
          <w:lang w:val="hr-HR"/>
        </w:rPr>
        <w:tab/>
      </w:r>
    </w:p>
    <w:p w14:paraId="1B012E17" w14:textId="77777777" w:rsidR="0066622F" w:rsidRPr="00C52120" w:rsidRDefault="0066622F" w:rsidP="0066622F">
      <w:pPr>
        <w:tabs>
          <w:tab w:val="left" w:pos="3858"/>
        </w:tabs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>
        <w:rPr>
          <w:rFonts w:cs="Times New Roman"/>
          <w:color w:val="000000" w:themeColor="text1"/>
          <w:sz w:val="24"/>
          <w:szCs w:val="24"/>
          <w:lang w:val="hr-HR"/>
        </w:rPr>
        <w:tab/>
      </w:r>
    </w:p>
    <w:p w14:paraId="1751ECFE" w14:textId="3638E17C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Rashodi za zaposlene realizirani su u </w:t>
      </w:r>
      <w:r w:rsidRPr="00C91352">
        <w:rPr>
          <w:rFonts w:cs="Times New Roman"/>
          <w:sz w:val="24"/>
          <w:szCs w:val="24"/>
          <w:lang w:val="hr-HR"/>
        </w:rPr>
        <w:t>iznosu od 53.</w:t>
      </w:r>
      <w:r w:rsidR="00B55BCE" w:rsidRPr="00C91352">
        <w:rPr>
          <w:rFonts w:cs="Times New Roman"/>
          <w:sz w:val="24"/>
          <w:szCs w:val="24"/>
          <w:lang w:val="hr-HR"/>
        </w:rPr>
        <w:t>776.222,92</w:t>
      </w:r>
      <w:r w:rsidRPr="00C91352">
        <w:rPr>
          <w:rFonts w:cs="Times New Roman"/>
          <w:sz w:val="24"/>
          <w:szCs w:val="24"/>
          <w:lang w:val="hr-HR"/>
        </w:rPr>
        <w:t xml:space="preserve"> EUR. U odnosu na isto izvještajno razdoblje u 2023. godini veći su za 4.</w:t>
      </w:r>
      <w:r w:rsidR="00B55BCE" w:rsidRPr="00C91352">
        <w:rPr>
          <w:rFonts w:cs="Times New Roman"/>
          <w:sz w:val="24"/>
          <w:szCs w:val="24"/>
          <w:lang w:val="hr-HR"/>
        </w:rPr>
        <w:t>217.064,74</w:t>
      </w:r>
      <w:r w:rsidRPr="00C91352">
        <w:rPr>
          <w:rFonts w:cs="Times New Roman"/>
          <w:sz w:val="24"/>
          <w:szCs w:val="24"/>
          <w:lang w:val="hr-HR"/>
        </w:rPr>
        <w:t xml:space="preserve">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EUR ili za </w:t>
      </w:r>
      <w:r w:rsidR="00C91352">
        <w:rPr>
          <w:rFonts w:cs="Times New Roman"/>
          <w:color w:val="000000" w:themeColor="text1"/>
          <w:sz w:val="24"/>
          <w:szCs w:val="24"/>
          <w:lang w:val="hr-HR"/>
        </w:rPr>
        <w:t>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3CFD8E70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311 Plaće (bruto)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44.971.485,37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64E2112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Plaće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1.990.382,60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odnose se na županijski proračun, a uključuju plaće za redovan rad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1.958.262,45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plaće u naravi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2.207,71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 plaće za prekovremeni rad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29.912,44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5E57AD31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Plaće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42.981.102,77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</w:t>
      </w:r>
    </w:p>
    <w:p w14:paraId="649C2217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plaće za redovan rad, plaće za prekovremeni rad i plaća za posebne uvjete rada.</w:t>
      </w:r>
    </w:p>
    <w:p w14:paraId="54D4BEC5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57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0A7736C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312 Ostali rashodi za zaposlene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1.981.287,46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303A045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Ostali rashodi za zaposlene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321.603,19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ostala materijalna prava zaposlenika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(jubilarne nagrade, naknade za neiskorišteni godišnji odmor, potpore za novorođeno dijete)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2D284D16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Ostali rashodi za zaposlene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1.659.684,27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ostala materijalna prava zaposlenika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(nagrade)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7E22180C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40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D017EC0" w14:textId="55F2EC3A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313 Doprinosi na </w:t>
      </w:r>
      <w:r w:rsidRPr="00C4337C">
        <w:rPr>
          <w:rFonts w:cs="Times New Roman"/>
          <w:sz w:val="24"/>
          <w:szCs w:val="24"/>
          <w:u w:val="single"/>
          <w:lang w:val="hr-HR"/>
        </w:rPr>
        <w:t xml:space="preserve">plaće – </w:t>
      </w:r>
      <w:r w:rsidR="00B55BCE" w:rsidRPr="00C4337C">
        <w:rPr>
          <w:rFonts w:cs="Times New Roman"/>
          <w:sz w:val="24"/>
          <w:szCs w:val="24"/>
          <w:u w:val="single"/>
          <w:lang w:val="hr-HR"/>
        </w:rPr>
        <w:t>6.823.450,09</w:t>
      </w:r>
      <w:r w:rsidRPr="00C4337C">
        <w:rPr>
          <w:rFonts w:cs="Times New Roman"/>
          <w:sz w:val="24"/>
          <w:szCs w:val="24"/>
          <w:u w:val="single"/>
          <w:lang w:val="hr-HR"/>
        </w:rPr>
        <w:t xml:space="preserve"> EUR</w:t>
      </w:r>
    </w:p>
    <w:p w14:paraId="3D68940C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Doprinosi na plaće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252.734,49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doprinos za obvezno zdravstveno osiguranje.</w:t>
      </w:r>
    </w:p>
    <w:p w14:paraId="7004536B" w14:textId="261A8AEF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Doprinosi na plaće u </w:t>
      </w:r>
      <w:r w:rsidRPr="00596363">
        <w:rPr>
          <w:rFonts w:cs="Times New Roman"/>
          <w:sz w:val="24"/>
          <w:szCs w:val="24"/>
          <w:lang w:val="hr-HR"/>
        </w:rPr>
        <w:t>iznosu od 6.</w:t>
      </w:r>
      <w:r w:rsidR="00B55BCE" w:rsidRPr="00596363">
        <w:rPr>
          <w:rFonts w:cs="Times New Roman"/>
          <w:sz w:val="24"/>
          <w:szCs w:val="24"/>
          <w:lang w:val="hr-HR"/>
        </w:rPr>
        <w:t>570.715,60</w:t>
      </w:r>
      <w:r w:rsidRPr="00596363">
        <w:rPr>
          <w:rFonts w:cs="Times New Roman"/>
          <w:sz w:val="24"/>
          <w:szCs w:val="24"/>
          <w:lang w:val="hr-HR"/>
        </w:rPr>
        <w:t xml:space="preserve"> EUR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odnose se na proračunske korisnike, a uključuju doprinos za mirovinsko osiguranje, doprinos za zdravstveno osiguranje i doprinos za obvezno osiguranje u slučaju nezaposlenosti.</w:t>
      </w:r>
    </w:p>
    <w:p w14:paraId="71011F83" w14:textId="2B69E2B8" w:rsidR="0066622F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="00B55BCE"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322D74E" w14:textId="77777777" w:rsidR="0066622F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AAAA8C5" w14:textId="77777777" w:rsidR="0066622F" w:rsidRPr="00C0737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Materijalni rashodi (konto 32)</w:t>
      </w:r>
    </w:p>
    <w:p w14:paraId="00197AD1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6C89511B" w14:textId="582869C8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Materijalni rashodi realizirani su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15.504.477,23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>
        <w:rPr>
          <w:rFonts w:cs="Times New Roman"/>
          <w:color w:val="000000" w:themeColor="text1"/>
          <w:sz w:val="24"/>
          <w:szCs w:val="24"/>
          <w:lang w:val="hr-HR"/>
        </w:rPr>
        <w:t>46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isto </w:t>
      </w:r>
      <w:r w:rsidR="002D1692">
        <w:rPr>
          <w:rFonts w:cs="Times New Roman"/>
          <w:color w:val="000000" w:themeColor="text1"/>
          <w:sz w:val="24"/>
          <w:szCs w:val="24"/>
          <w:lang w:val="hr-HR"/>
        </w:rPr>
        <w:t xml:space="preserve">izvještajno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manji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5.200.380,84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>
        <w:rPr>
          <w:rFonts w:cs="Times New Roman"/>
          <w:color w:val="000000" w:themeColor="text1"/>
          <w:sz w:val="24"/>
          <w:szCs w:val="24"/>
          <w:lang w:val="hr-HR"/>
        </w:rPr>
        <w:t>25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6AF966F4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321 Naknade troškova zaposlenima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2.142.665,46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CEF86B6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Naknade troškova zaposlenima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625.425,71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službena putovanja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107.568,71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naknade za prijevoz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472.631,42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stručno usavršavanje zaposlenika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37.015,01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ostale naknade troškova zaposlenima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8.210,57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0C0FFFDD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Naknade troškova zaposlenima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1.517.239,75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službena putovanja, naknade  za prijevoz, za rad na terenu i odvojeni život, stručno usavršavanje zaposlenika i ostale naknade troškova zaposlenima.</w:t>
      </w:r>
    </w:p>
    <w:p w14:paraId="5CD76B9E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48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4F487E4A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322 Rashodi za materijal i energiju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5.095.619,32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2B21BA52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Rashodi za materijal i energiju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1.246.491,95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uredski materijal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249.545,70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sirovine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124.769,82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energija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787.002,04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materijal i dijelovi za tekuće i investicijsko održavanje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36.919,59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sitni inventar i auto gume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40.848,05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službena, radna i zaštitna odjeća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7.406,75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47F5A2AC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Rashodi za materijal i energiju u iznosu od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3.849.127,37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uredski materijal, sirovine, energija, materijal i dijelovi za tekuće i investicijsko održavanje, sitni inventar i auto gume, službena, radna i zaštitna odjeća.</w:t>
      </w:r>
    </w:p>
    <w:p w14:paraId="356E73E1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45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9605EF2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323 Rashodi za usluge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4.651.654,81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1274C72" w14:textId="4C383D03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Rashodi za usluge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2.889.101,57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usluge telefona, pošt</w:t>
      </w:r>
      <w:r w:rsidR="006D2B8B">
        <w:rPr>
          <w:rFonts w:cs="Times New Roman"/>
          <w:color w:val="000000" w:themeColor="text1"/>
          <w:sz w:val="24"/>
          <w:szCs w:val="24"/>
          <w:lang w:val="hr-HR"/>
        </w:rPr>
        <w:t>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prijevoza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1.464.705,83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usluge tekućeg i investicijskog održavanja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342.345,60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usluge promidžbe i informiranja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131.795,57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komunalne usluge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160.021,62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zakupnine i najamnine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104.282,77 EUR, zdravstvene i veterinarske usluge u iznosu od 96.087,06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intelektualne i osobne usluge u iznosu od 85.964,20 EUR, računalne usluge u iznosu od 126.150,23 EUR i ostale usluge u iznosu od 377.748,69 EUR.</w:t>
      </w:r>
    </w:p>
    <w:p w14:paraId="4BAC85C8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Rashodi za usluge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1.762.553,24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usluge telefona, pošta i prijevoza, usluge tekućeg i investicijskog održavanja, usluge promidžbe i informiranja, komunalne usluge, zakupnine i najamnine.</w:t>
      </w:r>
    </w:p>
    <w:p w14:paraId="349537BA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44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B87ADE4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324 Naknade troškova osobama izvan radnog odnosa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142.847,35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F26DD10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Naknade u iznosu od 1</w:t>
      </w:r>
      <w:r>
        <w:rPr>
          <w:rFonts w:cs="Times New Roman"/>
          <w:color w:val="000000" w:themeColor="text1"/>
          <w:sz w:val="24"/>
          <w:szCs w:val="24"/>
          <w:lang w:val="hr-HR"/>
        </w:rPr>
        <w:t>16,00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naknadu troškova osobama izvan radnog odnosa.</w:t>
      </w:r>
    </w:p>
    <w:p w14:paraId="10FBBBD5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Naknade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142.731,35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naknadu troškova osobama izvan radnog odnosa.</w:t>
      </w:r>
    </w:p>
    <w:p w14:paraId="24618829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107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4CB1660F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329 Ostali nespomenuti rashodi poslovanja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3.471.690,29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CA52D22" w14:textId="77777777" w:rsidR="0066622F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Rashodi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2.913.328,35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naknade za rad predstavničkih i izvršnih tijela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povjerenstava i slično</w:t>
      </w:r>
      <w:r w:rsidRPr="005F66A9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u iznosu od 43.216,60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premije osiguranja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58.991,27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reprezentacija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15.594,06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članarine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i norme u iznosu od 23.589,92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pristojbe i naknade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1.620,70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Ostali nespomenuti rashodi poslovanja iznose 2.770.315,80   EUR te između ostalih troškova uključuju i sredstva koja su dana za rekonstrukciju kotlovnice u SB Krapinske Toplice, građanski odgoj – škole, soboslikarski radovi – REGEA, provođenje aktivnosti Poduzetničkog centa d.o.o., rashodi za projekt IAS (JU Zagorje zeleno).</w:t>
      </w:r>
    </w:p>
    <w:p w14:paraId="77C14977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Rashodi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558.361,94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naknade za rad predstavničkih i izvršnih tijela, povjerenstava i slično, premije osiguranja, reprezentacija, članarine, pristojbe i naknade, troškovi sudskih postupaka i ostali  nespomenuti rashodi poslovanja.</w:t>
      </w:r>
    </w:p>
    <w:p w14:paraId="4D2C4B72" w14:textId="77777777" w:rsidR="0066622F" w:rsidRPr="00D24D32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49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37573FF0" w14:textId="77777777" w:rsidR="0066622F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93CA6C4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Financijski rashodi (konto 34)</w:t>
      </w:r>
    </w:p>
    <w:p w14:paraId="16D6791C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CF0DAB9" w14:textId="0C488B6C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Financijski rashodi realizirani su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178.636,91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>
        <w:rPr>
          <w:rFonts w:cs="Times New Roman"/>
          <w:color w:val="000000" w:themeColor="text1"/>
          <w:sz w:val="24"/>
          <w:szCs w:val="24"/>
          <w:lang w:val="hr-HR"/>
        </w:rPr>
        <w:t>55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>isto</w:t>
      </w:r>
      <w:r w:rsidR="006A6EBF">
        <w:rPr>
          <w:rFonts w:cs="Times New Roman"/>
          <w:color w:val="000000" w:themeColor="text1"/>
          <w:sz w:val="24"/>
          <w:szCs w:val="24"/>
          <w:lang w:val="hr-HR"/>
        </w:rPr>
        <w:t xml:space="preserve"> izvještajno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veći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23.462,91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>
        <w:rPr>
          <w:rFonts w:cs="Times New Roman"/>
          <w:color w:val="000000" w:themeColor="text1"/>
          <w:sz w:val="24"/>
          <w:szCs w:val="24"/>
          <w:lang w:val="hr-HR"/>
        </w:rPr>
        <w:t>15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7F03C3D8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342 Kamate na primljene kredite i zajmove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95.512,35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E7D311A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Kamate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95.512,35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kamate za primljene kredite i zajmove od kreditnih i ostalih financijskih institucija izvan javnog sektora.</w:t>
      </w:r>
    </w:p>
    <w:p w14:paraId="33D18132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70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7563156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343 Ostali financijski rashodi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83.124,56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0AF5F60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Ostali financijski rashodi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38.187,32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bankarske usluge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usluge platnog prometa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37.925,00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zatezne kamate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186,40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ostale nespomenute financijske rashode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 u iznosu od 75,92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32EAA305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Ostali financijski rashodi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44.937,24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bankarske usluge, usluge platnog prometa, zatezne kamate i ostale nespomenute financijske rashode.</w:t>
      </w:r>
    </w:p>
    <w:p w14:paraId="6E7CB2AE" w14:textId="77777777" w:rsidR="0066622F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44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332F4AA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4E0FD84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Subvencije (konto 35)</w:t>
      </w:r>
    </w:p>
    <w:p w14:paraId="366A900A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124965E" w14:textId="33C90BCD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Subvencije su realizirane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567.382,18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>
        <w:rPr>
          <w:rFonts w:cs="Times New Roman"/>
          <w:color w:val="000000" w:themeColor="text1"/>
          <w:sz w:val="24"/>
          <w:szCs w:val="24"/>
          <w:lang w:val="hr-HR"/>
        </w:rPr>
        <w:t>41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isto </w:t>
      </w:r>
      <w:r w:rsidR="00A50C77">
        <w:rPr>
          <w:rFonts w:cs="Times New Roman"/>
          <w:color w:val="000000" w:themeColor="text1"/>
          <w:sz w:val="24"/>
          <w:szCs w:val="24"/>
          <w:lang w:val="hr-HR"/>
        </w:rPr>
        <w:t xml:space="preserve">izvještajno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veće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129.629,85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>
        <w:rPr>
          <w:rFonts w:cs="Times New Roman"/>
          <w:color w:val="000000" w:themeColor="text1"/>
          <w:sz w:val="24"/>
          <w:szCs w:val="24"/>
          <w:lang w:val="hr-HR"/>
        </w:rPr>
        <w:t>30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63A9599B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351 Subvencije trgovačkim društvima u javnom sektoru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27.347,69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2DF77C1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Subvencije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27.347,69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subvencije trgovačkim društvima  u javnom sektoru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(sufinanciranje poslovanja Krapinsko-zagorskog aerodroma, IPZP-a i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Piškornice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 xml:space="preserve"> d.o.o.).</w:t>
      </w:r>
    </w:p>
    <w:p w14:paraId="02022F43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Realizirani iznos predstavlja 9% godišnjeg plana.</w:t>
      </w:r>
    </w:p>
    <w:p w14:paraId="28DBD277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352 Subvencije trgovačkim društvima, poljoprivrednicima i obrtnicima izvan javnog sektora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478.405,81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425F0C2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Subvencije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478.405,81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regres kamate poduzetnicima u iznosu od 91.448,48 EUR i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subvencije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>poljoprivrednicima i obrtnicima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(uzgoj zagorskog purana, očuvanje pčelinjeg fonda, povećanje poljoprivredne proizvodnje, potpora za zaštitu od padalina, modernizacija) u iznosu od 386.957,33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0E91FE93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47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11DFF471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353 Subvencije trgovačkim društvima, poljoprivrednicima i obrtnicima iz EU sredstava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61.628,68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57B15EE1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Subvencije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61.628,68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financiranje trgovačkih društava (projekt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HyPoKrat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>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4A91B0AF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95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2340656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0E3E623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Pomoći dane u inozemstvo i unutar općeg proračuna (konto 36)</w:t>
      </w:r>
    </w:p>
    <w:p w14:paraId="32009ED6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CDA5494" w14:textId="65DB889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su realizirane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4.347.062,34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>
        <w:rPr>
          <w:rFonts w:cs="Times New Roman"/>
          <w:color w:val="000000" w:themeColor="text1"/>
          <w:sz w:val="24"/>
          <w:szCs w:val="24"/>
          <w:lang w:val="hr-HR"/>
        </w:rPr>
        <w:t>176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isto </w:t>
      </w:r>
      <w:r w:rsidR="00A50C77">
        <w:rPr>
          <w:rFonts w:cs="Times New Roman"/>
          <w:color w:val="000000" w:themeColor="text1"/>
          <w:sz w:val="24"/>
          <w:szCs w:val="24"/>
          <w:lang w:val="hr-HR"/>
        </w:rPr>
        <w:t xml:space="preserve">izvještajno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manje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28.271.336,92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</w:t>
      </w:r>
      <w:r w:rsidR="008530BF">
        <w:rPr>
          <w:rFonts w:cs="Times New Roman"/>
          <w:color w:val="000000" w:themeColor="text1"/>
          <w:sz w:val="24"/>
          <w:szCs w:val="24"/>
          <w:lang w:val="hr-HR"/>
        </w:rPr>
        <w:t xml:space="preserve"> (Fond solidarnosti)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3EEB8DA1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361 Pomoći inozemnim vladama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262.668,08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DA5277C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Pomoći u iznosu od 2</w:t>
      </w:r>
      <w:r>
        <w:rPr>
          <w:rFonts w:cs="Times New Roman"/>
          <w:color w:val="000000" w:themeColor="text1"/>
          <w:sz w:val="24"/>
          <w:szCs w:val="24"/>
          <w:lang w:val="hr-HR"/>
        </w:rPr>
        <w:t>62.668,08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pomoći inozemnim vladama.</w:t>
      </w:r>
    </w:p>
    <w:p w14:paraId="73E8C39E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130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43A5831A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363 Pomoći unutar općeg proračuna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480.250,00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FA35C47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480.250,00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tekuće pomoći unutar općeg proračuna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(sufinanciranje javno linijskog prijevoza putnika i sustava obrane od tuče) u iznosu od 72.109,16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kapitalne pomoći unutar općeg proračuna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(sufinanciranje odlagališta otpada, uređenje spomen parka Rudolf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Perešin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 xml:space="preserve">, obnova krovišta na zgradi DKD u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Razvoru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 xml:space="preserve">, sanacije klizišta Sopot,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Orešje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 xml:space="preserve"> Humsko i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Globočec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>) u iznosu od 408.140,84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7917F5D8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28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73F4872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366 Pomoći proračunskim korisnicima drugih proračuna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74.013,22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1CB0353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74.013,22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tekuće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pomoći proračunskim korisnicima drugih proračuna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(OŠ A. Cesarec Krapina i OŠ LJ. Gaj Krapina za projekt Baltazar 7, troškove natjecanja)  u iznosu od 32.924,87 EUR i kapitalne pomoći proračunskim korisnicima drugih proračuna (OB Zabok – nabava opreme za odjel ginekologije) u iznosu od 41.088,35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244B4CB0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54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7C9C4FD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368 Pomoći temeljem prijenosa EU sredstava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299.687,45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129721F0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190.977,39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kapitalne pomoći temeljem prijenosa EU sredstava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</w:t>
      </w:r>
      <w:r w:rsidRPr="00C47247">
        <w:rPr>
          <w:rFonts w:cs="Times New Roman"/>
          <w:color w:val="000000" w:themeColor="text1"/>
          <w:sz w:val="24"/>
          <w:szCs w:val="24"/>
          <w:lang w:val="hr-HR"/>
        </w:rPr>
        <w:t>Grad Pregrada - isplata po zahtjevu za plaćanje TOPFD-A sanacija klizišta na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C47247">
        <w:rPr>
          <w:rFonts w:cs="Times New Roman"/>
          <w:color w:val="000000" w:themeColor="text1"/>
          <w:sz w:val="24"/>
          <w:szCs w:val="24"/>
          <w:lang w:val="hr-HR"/>
        </w:rPr>
        <w:t>području Grada Pregrade</w:t>
      </w:r>
      <w:r>
        <w:rPr>
          <w:rFonts w:cs="Times New Roman"/>
          <w:color w:val="000000" w:themeColor="text1"/>
          <w:sz w:val="24"/>
          <w:szCs w:val="24"/>
          <w:lang w:val="hr-HR"/>
        </w:rPr>
        <w:t>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4AFDA9C3" w14:textId="77777777" w:rsidR="0066622F" w:rsidRPr="00C52120" w:rsidRDefault="0066622F" w:rsidP="0066622F">
      <w:pPr>
        <w:ind w:left="709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Pomoći u iznosu od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108.710,06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pomoći temeljem prijenosa EU sredstava.</w:t>
      </w:r>
    </w:p>
    <w:p w14:paraId="006672D0" w14:textId="2D4F0303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 w:rsidR="008530BF">
        <w:rPr>
          <w:rFonts w:cs="Times New Roman"/>
          <w:color w:val="000000" w:themeColor="text1"/>
          <w:sz w:val="24"/>
          <w:szCs w:val="24"/>
          <w:lang w:val="hr-HR"/>
        </w:rPr>
        <w:t xml:space="preserve">preko 100%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godišnjeg plana.</w:t>
      </w:r>
    </w:p>
    <w:p w14:paraId="754F4849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369 Prijenosi između proračunskih korisnika istog proračuna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3.230.443,59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D951799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52.383,81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tekuće prijenose između proračunskih korisnika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istog proračuna temeljem EU sredstava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(participativni dječji proračun, rana intervencija)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5BB73334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3.178.059,78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prijenose između proračunskih korisnika i tekuće i kapitalne prijenose između proračunskih korisnika istog proračuna temeljem EU sredstava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(ZARA – CRO-SI-SAFE, SB Krapinske Toplice – povrati beskamatnog zajma i decentraliziranih sredstava od potresa)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1E343E04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830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53BD70D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3B5DF04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Naknade građanima i kućanstvima na temelju osiguranja i druge naknade (konto 37)</w:t>
      </w:r>
    </w:p>
    <w:p w14:paraId="23399FBB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4B18566" w14:textId="2F93A002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Naknade su realizirane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2.281.266,30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>
        <w:rPr>
          <w:rFonts w:cs="Times New Roman"/>
          <w:color w:val="000000" w:themeColor="text1"/>
          <w:sz w:val="24"/>
          <w:szCs w:val="24"/>
          <w:lang w:val="hr-HR"/>
        </w:rPr>
        <w:t>50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>isto</w:t>
      </w:r>
      <w:r w:rsidR="00B13071">
        <w:rPr>
          <w:rFonts w:cs="Times New Roman"/>
          <w:color w:val="000000" w:themeColor="text1"/>
          <w:sz w:val="24"/>
          <w:szCs w:val="24"/>
          <w:lang w:val="hr-HR"/>
        </w:rPr>
        <w:t xml:space="preserve"> izvještajno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manje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97.030,36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</w:t>
      </w:r>
      <w:r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59578A4C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372 Ostale naknade građanima i kućanstvima iz proračuna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2.281.266,30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E616359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2.196.248,46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naknade građanima i kućanstvima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u novcu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(jednokratne novčane pomoći zbog teških životnih prilika, rad pomoćnika u nastavi mimo projekta, stipendije i školarine, novčane pomoći za treće i svako daljnje dijete)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u iznosu od 349.979,31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naknade građanima i kućanstvima u naravi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(prijevoz učenika SŠ, troškovi pokopa pokojnih hrvatskih branitelja) u iznosu od 1.846.269,15 EUR.</w:t>
      </w:r>
    </w:p>
    <w:p w14:paraId="492D09B9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Pomoći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85.017,84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naknade građanima i kućanstvima u novcu i naknade građanima i kućanstvima u naravi.</w:t>
      </w:r>
    </w:p>
    <w:p w14:paraId="5FDAE77B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50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BEF3B63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bookmarkStart w:id="0" w:name="_Hlk142651467"/>
    </w:p>
    <w:p w14:paraId="53C63FC5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Ostali rashodi (konto 38)</w:t>
      </w:r>
    </w:p>
    <w:bookmarkEnd w:id="0"/>
    <w:p w14:paraId="77895DAD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6BDBB260" w14:textId="0FED2EC6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Ostali rashodi su realizirani u iznosu od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1.783.599,70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>
        <w:rPr>
          <w:rFonts w:cs="Times New Roman"/>
          <w:color w:val="000000" w:themeColor="text1"/>
          <w:sz w:val="24"/>
          <w:szCs w:val="24"/>
          <w:lang w:val="hr-HR"/>
        </w:rPr>
        <w:t>21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>isto</w:t>
      </w:r>
      <w:r w:rsidR="00B13071">
        <w:rPr>
          <w:rFonts w:cs="Times New Roman"/>
          <w:color w:val="000000" w:themeColor="text1"/>
          <w:sz w:val="24"/>
          <w:szCs w:val="24"/>
          <w:lang w:val="hr-HR"/>
        </w:rPr>
        <w:t xml:space="preserve"> izvještajno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veći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936.733,51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za 1</w:t>
      </w:r>
      <w:r>
        <w:rPr>
          <w:rFonts w:cs="Times New Roman"/>
          <w:color w:val="000000" w:themeColor="text1"/>
          <w:sz w:val="24"/>
          <w:szCs w:val="24"/>
          <w:lang w:val="hr-HR"/>
        </w:rPr>
        <w:t>11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%.</w:t>
      </w:r>
    </w:p>
    <w:p w14:paraId="665708E1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381 Tekuće donacije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1.017.421,01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3FC9141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Tekuće donacije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985.258,94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tekuće donacije u novcu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(Vatrogasna zajednica KZŽ, političke stranke, udruge, sportska društva, Turistička zajednica KZŽ, REGEA)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7B5D4B91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Tekuće donacije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32.162,07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tekuće donacije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naravi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i iz EU sredstava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4528FB87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56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50463BA4" w14:textId="77777777" w:rsidR="0066622F" w:rsidRPr="002934CA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2934CA">
        <w:rPr>
          <w:rFonts w:cs="Times New Roman"/>
          <w:color w:val="000000" w:themeColor="text1"/>
          <w:sz w:val="24"/>
          <w:szCs w:val="24"/>
          <w:u w:val="single"/>
          <w:lang w:val="hr-HR"/>
        </w:rPr>
        <w:t>382 Kapitalne donacije – 750.169,05 EUR</w:t>
      </w:r>
    </w:p>
    <w:p w14:paraId="316AD500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Kapitalne donacije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748.684,05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kapitalne donacije neprofitnim organizacijama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(Društvo crvenog križa, udruge, župe) u iznosu od 44.067,49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kapitalne donacije građanima i kućanstvima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(Ministarstvo prostornoga uređenja – sufinanciranje obnove nakon potresa) u iznosu od 704.616,56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6A7A3358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Kapitalne donacije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1.485,00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kapitalne donacije ostalim neprofitnim organizacijama.</w:t>
      </w:r>
    </w:p>
    <w:p w14:paraId="6D10A8B5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12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33251D9E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383 Kazne, penali i naknade štete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1.997,16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1EE0599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Kazne, penali i naknade štete  u iznosu od 1</w:t>
      </w:r>
      <w:r>
        <w:rPr>
          <w:rFonts w:cs="Times New Roman"/>
          <w:color w:val="000000" w:themeColor="text1"/>
          <w:sz w:val="24"/>
          <w:szCs w:val="24"/>
          <w:lang w:val="hr-HR"/>
        </w:rPr>
        <w:t>.997,16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naknadu štet</w:t>
      </w:r>
      <w:r>
        <w:rPr>
          <w:rFonts w:cs="Times New Roman"/>
          <w:color w:val="000000" w:themeColor="text1"/>
          <w:sz w:val="24"/>
          <w:szCs w:val="24"/>
          <w:lang w:val="hr-HR"/>
        </w:rPr>
        <w:t>a pravnim i fizičkim osobama (sanacija štete od potresa)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13599833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6F30994B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386 Kapitalne pomoći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14.012,48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675B800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Kapitalne donacije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14.012,48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kapitalne pomoći kreditnim i ostalim financijskim institucijama te trgovačkim društvima u javnom sektoru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Piškornica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 xml:space="preserve"> d.o.o. – troškovi sufinanciranja investicija za gospodarenje otpadom)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0FF5A129" w14:textId="5D344F00" w:rsidR="00821073" w:rsidRPr="00C52120" w:rsidRDefault="0066622F" w:rsidP="00821073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10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  <w:bookmarkStart w:id="1" w:name="_Hlk142652039"/>
    </w:p>
    <w:p w14:paraId="48706C81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300737B1" w14:textId="77777777" w:rsidR="00384825" w:rsidRDefault="00384825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BFF6C0E" w14:textId="17EB1166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lastRenderedPageBreak/>
        <w:t>Rashodi za nabavu neproizvedene dugotrajne imovine (konto 41)</w:t>
      </w:r>
    </w:p>
    <w:p w14:paraId="30E10ABC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4465AA3C" w14:textId="374F1599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Rashodi za nabavu neproizvedene dugotrajne imovine su realizirani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67.224,16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>
        <w:rPr>
          <w:rFonts w:cs="Times New Roman"/>
          <w:color w:val="000000" w:themeColor="text1"/>
          <w:sz w:val="24"/>
          <w:szCs w:val="24"/>
          <w:lang w:val="hr-HR"/>
        </w:rPr>
        <w:t>30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>isto</w:t>
      </w:r>
      <w:r w:rsidR="009E3A75">
        <w:rPr>
          <w:rFonts w:cs="Times New Roman"/>
          <w:color w:val="000000" w:themeColor="text1"/>
          <w:sz w:val="24"/>
          <w:szCs w:val="24"/>
          <w:lang w:val="hr-HR"/>
        </w:rPr>
        <w:t xml:space="preserve"> izvještajno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veći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11.763,51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0B4094C5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411 Materijalna imovina – prirodna bogatstva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65.864,10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4797FC4B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Materijalna imovina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65.864,10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zemljišta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(nekretnine u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Desiniću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>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2CB6A1F6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50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570369A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412 Nematerijalna imovina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1.360,06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6CEBA2C9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Nematerijalna imovina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1.360,06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</w:t>
      </w:r>
      <w:r>
        <w:rPr>
          <w:rFonts w:cs="Times New Roman"/>
          <w:color w:val="000000" w:themeColor="text1"/>
          <w:sz w:val="24"/>
          <w:szCs w:val="24"/>
          <w:lang w:val="hr-HR"/>
        </w:rPr>
        <w:t>licence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26D0E824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bookmarkEnd w:id="1"/>
    <w:p w14:paraId="37666EF1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FBAE06D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Rashodi za nabavu proizvedene dugotrajne imovine (konto 42)</w:t>
      </w:r>
    </w:p>
    <w:p w14:paraId="6F409D5F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1CE23562" w14:textId="5B5A7F13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Rashodi za nabavu proizvedene dugotrajne imovine realizirani su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2.046.808,20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>
        <w:rPr>
          <w:rFonts w:cs="Times New Roman"/>
          <w:color w:val="000000" w:themeColor="text1"/>
          <w:sz w:val="24"/>
          <w:szCs w:val="24"/>
          <w:lang w:val="hr-HR"/>
        </w:rPr>
        <w:t>7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isto </w:t>
      </w:r>
      <w:r w:rsidR="00C56C42">
        <w:rPr>
          <w:rFonts w:cs="Times New Roman"/>
          <w:color w:val="000000" w:themeColor="text1"/>
          <w:sz w:val="24"/>
          <w:szCs w:val="24"/>
          <w:lang w:val="hr-HR"/>
        </w:rPr>
        <w:t xml:space="preserve">izvještajno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manji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5.234.466,48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2D26AB6C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421 Građevinski objekti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1.471.336,91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F8B1844" w14:textId="1879C55E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Troškovi za građevinske objekte 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1.241.250,40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troškove za poslovne objekte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1.232.488,52 EUR (izgradnja sportske dvorane SŠ Zabok – RCKTU</w:t>
      </w:r>
      <w:r w:rsidR="00774EE6">
        <w:rPr>
          <w:rFonts w:cs="Times New Roman"/>
          <w:color w:val="000000" w:themeColor="text1"/>
          <w:sz w:val="24"/>
          <w:szCs w:val="24"/>
          <w:lang w:val="hr-HR"/>
        </w:rPr>
        <w:t>)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i ostale građevinske objekte u iznosu od 8.761,88 EUR (uređenje sportskog igrališta OŠ Sveti Križ Začretje).</w:t>
      </w:r>
    </w:p>
    <w:p w14:paraId="562EADDC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Troškovi za građevinske objekte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230.086,51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troškove za poslovne subjekte (RCKTU).</w:t>
      </w:r>
    </w:p>
    <w:p w14:paraId="57D0C3DC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7EF6C12F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422 Postrojenja i oprema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409.438,29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5B5E285A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Postrojenja i oprema u iznosu od 1</w:t>
      </w:r>
      <w:r>
        <w:rPr>
          <w:rFonts w:cs="Times New Roman"/>
          <w:color w:val="000000" w:themeColor="text1"/>
          <w:sz w:val="24"/>
          <w:szCs w:val="24"/>
          <w:lang w:val="hr-HR"/>
        </w:rPr>
        <w:t>46.850,33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uredsku opremu i namještaj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7.292,96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, medicinsku i laboratorijsku opremu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48.750,00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uređaje i opremu za ostale namjene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u iznosu od 90.807,37 EUR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463EDD56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Postrojenja i oprema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262.587,96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uredsku opremu i namještaj, komunikacijsku opremu, opremu za održavanje i zaštitu, medicinsku i laboratorijsku opremu, instrumente i uređaje, sportsku i glazbenu opremu i uređaje, strojeve i opremu za ostale namjene.</w:t>
      </w:r>
    </w:p>
    <w:p w14:paraId="74BE0182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18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384CCD31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423 Prijevozna sredstva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150.511,58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568991B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Prijevozna sredstva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150.511,58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prijevozna sredstva u cestovnom prometu.</w:t>
      </w:r>
    </w:p>
    <w:p w14:paraId="48C68583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5% godišnjeg plana.</w:t>
      </w:r>
    </w:p>
    <w:p w14:paraId="02FCD13A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424 Knjige, umjetnička djela i ostale izložbene vrijednosti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4.520,72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37F3615B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Troškovi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498,01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troškove za knjige.</w:t>
      </w:r>
    </w:p>
    <w:p w14:paraId="0EEABE40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Troškovi 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4.022,71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troškove za knjige.</w:t>
      </w:r>
    </w:p>
    <w:p w14:paraId="5E914DBA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75FC66B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426 Nematerijalna proizvedena imovina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11.000,70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04BB54A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Nematerijalna proizvedena imovina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11.000,70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odnosi se na proračunske korisnike, a uključuju troškove ulaganja u računalne programe.</w:t>
      </w:r>
    </w:p>
    <w:p w14:paraId="7376971F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74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79065CB" w14:textId="77777777" w:rsidR="0066622F" w:rsidRPr="00C52120" w:rsidRDefault="0066622F" w:rsidP="0066622F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99DE367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Rashodi za dodatna ulaganja na nefinancijskoj imovini (konto 45)</w:t>
      </w:r>
    </w:p>
    <w:p w14:paraId="6929CB45" w14:textId="77777777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036802A4" w14:textId="3FA7FDE4" w:rsidR="0066622F" w:rsidRPr="00C52120" w:rsidRDefault="0066622F" w:rsidP="0066622F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Rashodi za dodatna ulaganja na nefinancijskoj imovini realizirani su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793.870,54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ili </w:t>
      </w:r>
      <w:r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% u odnosu na godišnji plan. U odnosu na </w:t>
      </w:r>
      <w:r>
        <w:rPr>
          <w:rFonts w:cs="Times New Roman"/>
          <w:color w:val="000000" w:themeColor="text1"/>
          <w:sz w:val="24"/>
          <w:szCs w:val="24"/>
          <w:lang w:val="hr-HR"/>
        </w:rPr>
        <w:t>isto</w:t>
      </w:r>
      <w:r w:rsidR="00E377E9">
        <w:rPr>
          <w:rFonts w:cs="Times New Roman"/>
          <w:color w:val="000000" w:themeColor="text1"/>
          <w:sz w:val="24"/>
          <w:szCs w:val="24"/>
          <w:lang w:val="hr-HR"/>
        </w:rPr>
        <w:t xml:space="preserve"> izvještajno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razdoblje u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202</w:t>
      </w:r>
      <w:r>
        <w:rPr>
          <w:rFonts w:cs="Times New Roman"/>
          <w:color w:val="000000" w:themeColor="text1"/>
          <w:sz w:val="24"/>
          <w:szCs w:val="24"/>
          <w:lang w:val="hr-HR"/>
        </w:rPr>
        <w:t>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 godin</w:t>
      </w:r>
      <w:r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manji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su za </w:t>
      </w:r>
      <w:r>
        <w:rPr>
          <w:rFonts w:cs="Times New Roman"/>
          <w:color w:val="000000" w:themeColor="text1"/>
          <w:sz w:val="24"/>
          <w:szCs w:val="24"/>
          <w:lang w:val="hr-HR"/>
        </w:rPr>
        <w:t>5.217.565,16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EUR.</w:t>
      </w:r>
    </w:p>
    <w:p w14:paraId="483A089F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451 Dodatna ulaganja na građevinskim objektima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739.719,53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75699AB1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Dodatna ulaganja na građevinskim objektima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237.620,60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županijski proračun, a uključuju rashode za ulaganja na građevinskim objektima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(obnova PŠ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Putkovec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 xml:space="preserve">, uređenje svlačionica OŠ </w:t>
      </w:r>
      <w:proofErr w:type="spellStart"/>
      <w:r>
        <w:rPr>
          <w:rFonts w:cs="Times New Roman"/>
          <w:color w:val="000000" w:themeColor="text1"/>
          <w:sz w:val="24"/>
          <w:szCs w:val="24"/>
          <w:lang w:val="hr-HR"/>
        </w:rPr>
        <w:t>Budinščina</w:t>
      </w:r>
      <w:proofErr w:type="spellEnd"/>
      <w:r>
        <w:rPr>
          <w:rFonts w:cs="Times New Roman"/>
          <w:color w:val="000000" w:themeColor="text1"/>
          <w:sz w:val="24"/>
          <w:szCs w:val="24"/>
          <w:lang w:val="hr-HR"/>
        </w:rPr>
        <w:t>,</w:t>
      </w:r>
      <w:r w:rsidRPr="00492EB7">
        <w:t xml:space="preserve"> </w:t>
      </w:r>
      <w:r>
        <w:rPr>
          <w:rFonts w:cs="Times New Roman"/>
          <w:color w:val="000000" w:themeColor="text1"/>
          <w:sz w:val="24"/>
          <w:szCs w:val="24"/>
          <w:lang w:val="hr-HR"/>
        </w:rPr>
        <w:t>k</w:t>
      </w:r>
      <w:r w:rsidRPr="00492EB7">
        <w:rPr>
          <w:rFonts w:cs="Times New Roman"/>
          <w:color w:val="000000" w:themeColor="text1"/>
          <w:sz w:val="24"/>
          <w:szCs w:val="24"/>
          <w:lang w:val="hr-HR"/>
        </w:rPr>
        <w:t>limatizacija odjela opće rehabilitacije i dvorane za fizikalne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492EB7">
        <w:rPr>
          <w:rFonts w:cs="Times New Roman"/>
          <w:color w:val="000000" w:themeColor="text1"/>
          <w:sz w:val="24"/>
          <w:szCs w:val="24"/>
          <w:lang w:val="hr-HR"/>
        </w:rPr>
        <w:t>terapije SB S</w:t>
      </w:r>
      <w:r>
        <w:rPr>
          <w:rFonts w:cs="Times New Roman"/>
          <w:color w:val="000000" w:themeColor="text1"/>
          <w:sz w:val="24"/>
          <w:szCs w:val="24"/>
          <w:lang w:val="hr-HR"/>
        </w:rPr>
        <w:t>tubičke</w:t>
      </w:r>
      <w:r w:rsidRPr="00492EB7">
        <w:rPr>
          <w:rFonts w:cs="Times New Roman"/>
          <w:color w:val="000000" w:themeColor="text1"/>
          <w:sz w:val="24"/>
          <w:szCs w:val="24"/>
          <w:lang w:val="hr-HR"/>
        </w:rPr>
        <w:t xml:space="preserve"> T</w:t>
      </w:r>
      <w:r>
        <w:rPr>
          <w:rFonts w:cs="Times New Roman"/>
          <w:color w:val="000000" w:themeColor="text1"/>
          <w:sz w:val="24"/>
          <w:szCs w:val="24"/>
          <w:lang w:val="hr-HR"/>
        </w:rPr>
        <w:t>oplice)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6F607DD2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Dodatna ulaganja na građevinskim objektima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502.098,93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rashode za ulaganja na građevinskim objektima. </w:t>
      </w:r>
    </w:p>
    <w:p w14:paraId="63C7D580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04568537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452 Dodatna ulaganja na građevinskim objektima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51.161,01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641502C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Dodatna ulaganja na građevinskim objektima u iznosu od </w:t>
      </w:r>
      <w:r>
        <w:rPr>
          <w:rFonts w:cs="Times New Roman"/>
          <w:color w:val="000000" w:themeColor="text1"/>
          <w:sz w:val="24"/>
          <w:szCs w:val="24"/>
          <w:lang w:val="hr-HR"/>
        </w:rPr>
        <w:t>51.161,01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proračunske korisnike, a uključuju rashode za ulaganja na građevinskim objektima. </w:t>
      </w:r>
    </w:p>
    <w:p w14:paraId="12AD5C83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Realizirani iznos predstavlja 100% godišnjeg plana.</w:t>
      </w:r>
    </w:p>
    <w:p w14:paraId="1FC2CDBB" w14:textId="77777777" w:rsidR="0066622F" w:rsidRPr="00C52120" w:rsidRDefault="0066622F" w:rsidP="0066622F">
      <w:pPr>
        <w:numPr>
          <w:ilvl w:val="0"/>
          <w:numId w:val="1"/>
        </w:numPr>
        <w:ind w:left="714" w:hanging="357"/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>45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4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Dodatna ulaganja na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ostalu nefinancijsku imovinu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– </w:t>
      </w:r>
      <w:r>
        <w:rPr>
          <w:rFonts w:cs="Times New Roman"/>
          <w:color w:val="000000" w:themeColor="text1"/>
          <w:sz w:val="24"/>
          <w:szCs w:val="24"/>
          <w:u w:val="single"/>
          <w:lang w:val="hr-HR"/>
        </w:rPr>
        <w:t>2.990,00</w:t>
      </w:r>
      <w:r w:rsidRPr="00C52120">
        <w:rPr>
          <w:rFonts w:cs="Times New Roman"/>
          <w:color w:val="000000" w:themeColor="text1"/>
          <w:sz w:val="24"/>
          <w:szCs w:val="24"/>
          <w:u w:val="single"/>
          <w:lang w:val="hr-HR"/>
        </w:rPr>
        <w:t xml:space="preserve"> EUR</w:t>
      </w:r>
    </w:p>
    <w:p w14:paraId="0F5B44FF" w14:textId="7777777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Dodatna ulaganja na građevinskim objektima u iznosu od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 2.990,00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odnose se na </w:t>
      </w:r>
      <w:r>
        <w:rPr>
          <w:rFonts w:cs="Times New Roman"/>
          <w:color w:val="000000" w:themeColor="text1"/>
          <w:sz w:val="24"/>
          <w:szCs w:val="24"/>
          <w:lang w:val="hr-HR"/>
        </w:rPr>
        <w:t>županijski proračun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, a uključuju rashode za </w:t>
      </w:r>
      <w:r>
        <w:rPr>
          <w:rFonts w:cs="Times New Roman"/>
          <w:color w:val="000000" w:themeColor="text1"/>
          <w:sz w:val="24"/>
          <w:szCs w:val="24"/>
          <w:lang w:val="hr-HR"/>
        </w:rPr>
        <w:t xml:space="preserve">dodatna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ulaganja na </w:t>
      </w:r>
      <w:r>
        <w:rPr>
          <w:rFonts w:cs="Times New Roman"/>
          <w:color w:val="000000" w:themeColor="text1"/>
          <w:sz w:val="24"/>
          <w:szCs w:val="24"/>
          <w:lang w:val="hr-HR"/>
        </w:rPr>
        <w:t>ostalu nefinancijsku imovinu (postolje, kopirka, printer)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. </w:t>
      </w:r>
    </w:p>
    <w:p w14:paraId="36343B33" w14:textId="5F581E37" w:rsidR="0066622F" w:rsidRPr="00C52120" w:rsidRDefault="0066622F" w:rsidP="0066622F">
      <w:pPr>
        <w:ind w:left="709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Realizirani iznos predstavlja </w:t>
      </w:r>
      <w:r>
        <w:rPr>
          <w:rFonts w:cs="Times New Roman"/>
          <w:color w:val="000000" w:themeColor="text1"/>
          <w:sz w:val="24"/>
          <w:szCs w:val="24"/>
          <w:lang w:val="hr-HR"/>
        </w:rPr>
        <w:t>64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>% godišnjeg plana.</w:t>
      </w:r>
    </w:p>
    <w:p w14:paraId="26A71621" w14:textId="77777777" w:rsidR="00232731" w:rsidRPr="00C52120" w:rsidRDefault="00232731" w:rsidP="00C52120">
      <w:pPr>
        <w:rPr>
          <w:rFonts w:cs="Times New Roman"/>
          <w:color w:val="000000" w:themeColor="text1"/>
          <w:sz w:val="24"/>
          <w:szCs w:val="24"/>
          <w:lang w:val="hr-HR"/>
        </w:rPr>
      </w:pPr>
    </w:p>
    <w:p w14:paraId="57A3D887" w14:textId="541DC852" w:rsidR="00FD3A5B" w:rsidRPr="00C52120" w:rsidRDefault="00FD3A5B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Rashodi poslovanja (županijski dio)</w:t>
      </w:r>
    </w:p>
    <w:p w14:paraId="329F4F13" w14:textId="77777777" w:rsidR="00C03590" w:rsidRPr="00C52120" w:rsidRDefault="00C03590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1C77BF2F" w14:textId="7F526C9D" w:rsidR="00C03590" w:rsidRPr="00D24D32" w:rsidRDefault="00137EE6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U </w:t>
      </w:r>
      <w:r w:rsidR="008A71D6" w:rsidRPr="00C52120">
        <w:rPr>
          <w:rFonts w:cs="Times New Roman"/>
          <w:color w:val="000000" w:themeColor="text1"/>
          <w:sz w:val="24"/>
          <w:szCs w:val="24"/>
          <w:lang w:val="hr-HR"/>
        </w:rPr>
        <w:t>2023. godini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ostvareni su ukupni rashodi u iznosu od </w:t>
      </w:r>
      <w:r w:rsidR="0066622F">
        <w:rPr>
          <w:rFonts w:cs="Times New Roman"/>
          <w:color w:val="000000" w:themeColor="text1"/>
          <w:sz w:val="24"/>
          <w:szCs w:val="24"/>
          <w:lang w:val="hr-HR"/>
        </w:rPr>
        <w:t>17.379.164,66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EUR, od čega se na rashode poslovanja odnosi </w:t>
      </w:r>
      <w:r w:rsidR="0066622F">
        <w:rPr>
          <w:rFonts w:cs="Times New Roman"/>
          <w:color w:val="000000" w:themeColor="text1"/>
          <w:sz w:val="24"/>
          <w:szCs w:val="24"/>
          <w:lang w:val="hr-HR"/>
        </w:rPr>
        <w:t>15.684.091,22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 te rashode za nabavu imovine koji iznose </w:t>
      </w:r>
      <w:r w:rsidR="008A71D6" w:rsidRPr="00C52120">
        <w:rPr>
          <w:rFonts w:cs="Times New Roman"/>
          <w:color w:val="000000" w:themeColor="text1"/>
          <w:sz w:val="24"/>
          <w:szCs w:val="24"/>
          <w:lang w:val="hr-HR"/>
        </w:rPr>
        <w:t>1</w:t>
      </w:r>
      <w:r w:rsidR="0066622F">
        <w:rPr>
          <w:rFonts w:cs="Times New Roman"/>
          <w:color w:val="000000" w:themeColor="text1"/>
          <w:sz w:val="24"/>
          <w:szCs w:val="24"/>
          <w:lang w:val="hr-HR"/>
        </w:rPr>
        <w:t>.695.073,44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EUR. </w:t>
      </w:r>
      <w:r w:rsidR="00FC1101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Detaljniji prikaz izvršenja rashoda županijskog proračuna za </w:t>
      </w:r>
      <w:r w:rsidR="0066622F">
        <w:rPr>
          <w:rFonts w:cs="Times New Roman"/>
          <w:color w:val="000000" w:themeColor="text1"/>
          <w:sz w:val="24"/>
          <w:szCs w:val="24"/>
          <w:lang w:val="hr-HR"/>
        </w:rPr>
        <w:t>razdoblje od 01.01. – 30.06.2024. godine</w:t>
      </w:r>
      <w:r w:rsidR="00FC1101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dan je u Tablici </w:t>
      </w:r>
      <w:r w:rsidR="008A71D6" w:rsidRPr="00C52120">
        <w:rPr>
          <w:rFonts w:cs="Times New Roman"/>
          <w:color w:val="000000" w:themeColor="text1"/>
          <w:sz w:val="24"/>
          <w:szCs w:val="24"/>
          <w:lang w:val="hr-HR"/>
        </w:rPr>
        <w:t>4</w:t>
      </w:r>
      <w:r w:rsidR="00FC1101"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</w:p>
    <w:p w14:paraId="6204F6E5" w14:textId="77777777" w:rsidR="0066622F" w:rsidRDefault="0066622F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AEF89EA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E2CC221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41D0E8B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AB3D680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9609459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5ADBFC7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CB06FB3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AE95C26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0AEDAD8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684D5C38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0B3C736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A564B6D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0BA4977E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6CA9443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F00B43A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A1EB2C7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8592B20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7A08F578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7B1CE9E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5355D69" w14:textId="77777777" w:rsidR="003913FC" w:rsidRDefault="003913FC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1F32D711" w14:textId="0B505E11" w:rsidR="00137EE6" w:rsidRPr="00C52120" w:rsidRDefault="00FC1101" w:rsidP="006D3AE7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Tablica </w:t>
      </w:r>
      <w:r w:rsidR="008A71D6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4</w:t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. Struktura izvršenja rashoda (županijski dio)</w:t>
      </w:r>
    </w:p>
    <w:p w14:paraId="7C31054A" w14:textId="7239FB09" w:rsidR="007C66F4" w:rsidRPr="00D24D32" w:rsidRDefault="007C66F4">
      <w:pPr>
        <w:pStyle w:val="Odlomakpopisa"/>
        <w:numPr>
          <w:ilvl w:val="0"/>
          <w:numId w:val="38"/>
        </w:numPr>
        <w:jc w:val="both"/>
        <w:rPr>
          <w:rFonts w:cs="Times New Roman"/>
          <w:color w:val="000000" w:themeColor="text1"/>
          <w:lang w:val="hr-HR"/>
        </w:rPr>
      </w:pPr>
      <w:r w:rsidRPr="00D24D32">
        <w:rPr>
          <w:rFonts w:cs="Times New Roman"/>
          <w:color w:val="000000" w:themeColor="text1"/>
          <w:lang w:val="hr-HR"/>
        </w:rPr>
        <w:t>iznosi u €</w:t>
      </w:r>
    </w:p>
    <w:p w14:paraId="53144356" w14:textId="77777777" w:rsidR="00C03590" w:rsidRPr="00C52120" w:rsidRDefault="00C03590" w:rsidP="00C52120">
      <w:pPr>
        <w:pStyle w:val="Odlomakpopisa"/>
        <w:ind w:left="7440"/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76A67306" w14:textId="18529E1B" w:rsidR="00FC1101" w:rsidRPr="00C52120" w:rsidRDefault="00B24617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B24617">
        <w:rPr>
          <w:noProof/>
        </w:rPr>
        <w:drawing>
          <wp:inline distT="0" distB="0" distL="0" distR="0" wp14:anchorId="25D99ABB" wp14:editId="09D292F7">
            <wp:extent cx="5343277" cy="4451553"/>
            <wp:effectExtent l="0" t="0" r="0" b="6350"/>
            <wp:docPr id="374960797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895" cy="4456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95853" w14:textId="77777777" w:rsidR="00C03590" w:rsidRPr="00C52120" w:rsidRDefault="00C03590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31252806" w14:textId="77777777" w:rsidR="003913FC" w:rsidRDefault="007F5F45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>Rashode</w:t>
      </w:r>
      <w:r w:rsidR="00FC1101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poslovanja Krapinsko-zagorske županije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čine rashodi za zaposlene, materijalni rashodi, financijski rashodi, subvencije, pomoći, naknade građanima i kućanstvima te ostali rashodi. Rashodi za nabavu nefinancijske imovine čine rashodi za nabavu neproizvedene dugotrajne imovine i rashodi za nabavu proizvedene dugotrajne imovine te rashodi za </w:t>
      </w:r>
      <w:r w:rsidR="00A404F7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dodatna ulaganja na nefinancijskoj imovini. </w:t>
      </w:r>
    </w:p>
    <w:p w14:paraId="5415F272" w14:textId="1C9B74F8" w:rsidR="003913FC" w:rsidRPr="00E86C46" w:rsidRDefault="00A404F7" w:rsidP="00C52120">
      <w:pPr>
        <w:jc w:val="both"/>
        <w:rPr>
          <w:rFonts w:cs="Times New Roman"/>
          <w:color w:val="FF0000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Najveći udio u ukupnim rashodima čine </w:t>
      </w:r>
      <w:r w:rsidR="003913FC">
        <w:rPr>
          <w:rFonts w:cs="Times New Roman"/>
          <w:color w:val="000000" w:themeColor="text1"/>
          <w:sz w:val="24"/>
          <w:szCs w:val="24"/>
          <w:lang w:val="hr-HR"/>
        </w:rPr>
        <w:t>materijalni rashodi u iznosu od 7.674.463,58 EUR. Zatim slijede rashodi za zaposlene u iznosu od 2.564.720,28 EUR, naknade građanima i kućanstvima u iznosu od 2.196.248,46 EUR, ostali rashodi u iznosu od 1.749.952,63 EUR, rashodi za nabavu proizvedene dugotrajne imovine u iznosu od 1.388.598,74 EUR, dane pomoći u iznosu od 797.624,42 EUR, subvencije u iznosu od 567.382,18 EUR, rashodi za dodatna ulaganja na nefinancijskoj imovini u iznosu od 240.610,60 EUR</w:t>
      </w:r>
      <w:r w:rsidR="0061614F">
        <w:rPr>
          <w:rFonts w:cs="Times New Roman"/>
          <w:color w:val="000000" w:themeColor="text1"/>
          <w:sz w:val="24"/>
          <w:szCs w:val="24"/>
          <w:lang w:val="hr-HR"/>
        </w:rPr>
        <w:t xml:space="preserve">, financijski rashodi u iznosu od 133.699,67 EUR te rashodi za nabavu nefinancijske imovine u iznosu od 65.864,10 EUR. </w:t>
      </w:r>
      <w:r w:rsidR="00B24617">
        <w:rPr>
          <w:rFonts w:cs="Times New Roman"/>
          <w:color w:val="000000" w:themeColor="text1"/>
          <w:sz w:val="24"/>
          <w:szCs w:val="24"/>
          <w:lang w:val="hr-HR"/>
        </w:rPr>
        <w:t xml:space="preserve">Realizacija rashoda u razdoblju od 01.01. – 30.06.2024. godine predstavlja 28% godišnjeg plana. </w:t>
      </w:r>
      <w:r w:rsidR="008D77BB">
        <w:rPr>
          <w:rFonts w:cs="Times New Roman"/>
          <w:color w:val="000000" w:themeColor="text1"/>
          <w:sz w:val="24"/>
          <w:szCs w:val="24"/>
          <w:lang w:val="hr-HR"/>
        </w:rPr>
        <w:t>Ukupno ostvareni rashodi su u</w:t>
      </w:r>
      <w:r w:rsidR="00B24617">
        <w:rPr>
          <w:rFonts w:cs="Times New Roman"/>
          <w:color w:val="000000" w:themeColor="text1"/>
          <w:sz w:val="24"/>
          <w:szCs w:val="24"/>
          <w:lang w:val="hr-HR"/>
        </w:rPr>
        <w:t xml:space="preserve"> odnosu na isto </w:t>
      </w:r>
      <w:r w:rsidR="00E86C46">
        <w:rPr>
          <w:rFonts w:cs="Times New Roman"/>
          <w:color w:val="000000" w:themeColor="text1"/>
          <w:sz w:val="24"/>
          <w:szCs w:val="24"/>
          <w:lang w:val="hr-HR"/>
        </w:rPr>
        <w:t xml:space="preserve">izvještajno </w:t>
      </w:r>
      <w:r w:rsidR="00B24617">
        <w:rPr>
          <w:rFonts w:cs="Times New Roman"/>
          <w:color w:val="000000" w:themeColor="text1"/>
          <w:sz w:val="24"/>
          <w:szCs w:val="24"/>
          <w:lang w:val="hr-HR"/>
        </w:rPr>
        <w:t xml:space="preserve">razdoblje u 2023. godini </w:t>
      </w:r>
      <w:r w:rsidR="00E86C46">
        <w:rPr>
          <w:rFonts w:cs="Times New Roman"/>
          <w:color w:val="000000" w:themeColor="text1"/>
          <w:sz w:val="24"/>
          <w:szCs w:val="24"/>
          <w:lang w:val="hr-HR"/>
        </w:rPr>
        <w:t>manj</w:t>
      </w:r>
      <w:r w:rsidR="008D77BB">
        <w:rPr>
          <w:rFonts w:cs="Times New Roman"/>
          <w:color w:val="000000" w:themeColor="text1"/>
          <w:sz w:val="24"/>
          <w:szCs w:val="24"/>
          <w:lang w:val="hr-HR"/>
        </w:rPr>
        <w:t>i</w:t>
      </w:r>
      <w:r w:rsidR="00E86C46">
        <w:rPr>
          <w:rFonts w:cs="Times New Roman"/>
          <w:color w:val="000000" w:themeColor="text1"/>
          <w:sz w:val="24"/>
          <w:szCs w:val="24"/>
          <w:lang w:val="hr-HR"/>
        </w:rPr>
        <w:t xml:space="preserve"> za 6</w:t>
      </w:r>
      <w:r w:rsidR="00D64287">
        <w:rPr>
          <w:rFonts w:cs="Times New Roman"/>
          <w:color w:val="000000" w:themeColor="text1"/>
          <w:sz w:val="24"/>
          <w:szCs w:val="24"/>
          <w:lang w:val="hr-HR"/>
        </w:rPr>
        <w:t>7%, i to prvenstveno iz razloga ostvarenja troškova u 2023. godini koji su se odnosili na prihode iz Fonda solidarnosti (sanacija štete od potresa).</w:t>
      </w:r>
      <w:r w:rsidR="00E86C46" w:rsidRPr="001B03D8">
        <w:rPr>
          <w:rFonts w:cs="Times New Roman"/>
          <w:sz w:val="24"/>
          <w:szCs w:val="24"/>
          <w:lang w:val="hr-HR"/>
        </w:rPr>
        <w:t xml:space="preserve"> </w:t>
      </w:r>
    </w:p>
    <w:p w14:paraId="18969130" w14:textId="77777777" w:rsidR="0061614F" w:rsidRDefault="0061614F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0EC8412E" w14:textId="77777777" w:rsidR="0061614F" w:rsidRDefault="0061614F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052BAAA5" w14:textId="479A506C" w:rsidR="0023114A" w:rsidRPr="00C52120" w:rsidRDefault="00EC5E6D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color w:val="000000" w:themeColor="text1"/>
          <w:sz w:val="24"/>
          <w:szCs w:val="24"/>
          <w:lang w:val="hr-HR"/>
        </w:rPr>
        <w:lastRenderedPageBreak/>
        <w:t xml:space="preserve">Detaljnija struktura izvršenja </w:t>
      </w:r>
      <w:r w:rsidR="00FC1101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županijskih </w:t>
      </w:r>
      <w:r w:rsidR="00FD3A5B" w:rsidRPr="00C52120">
        <w:rPr>
          <w:rFonts w:cs="Times New Roman"/>
          <w:color w:val="000000" w:themeColor="text1"/>
          <w:sz w:val="24"/>
          <w:szCs w:val="24"/>
          <w:lang w:val="hr-HR"/>
        </w:rPr>
        <w:t>rashoda</w:t>
      </w:r>
      <w:r w:rsidR="000017C9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i izdataka</w:t>
      </w:r>
      <w:r w:rsidR="00FD3A5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po upravnim odjelima</w:t>
      </w:r>
      <w:r w:rsidR="00FC1101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prikazana je </w:t>
      </w:r>
      <w:r w:rsidR="00814C10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u Tablici </w:t>
      </w:r>
      <w:r w:rsidR="00D24D32">
        <w:rPr>
          <w:rFonts w:cs="Times New Roman"/>
          <w:color w:val="000000" w:themeColor="text1"/>
          <w:sz w:val="24"/>
          <w:szCs w:val="24"/>
          <w:lang w:val="hr-HR"/>
        </w:rPr>
        <w:t>5</w:t>
      </w:r>
      <w:r w:rsidR="00814C10" w:rsidRPr="00C52120">
        <w:rPr>
          <w:rFonts w:cs="Times New Roman"/>
          <w:color w:val="000000" w:themeColor="text1"/>
          <w:sz w:val="24"/>
          <w:szCs w:val="24"/>
          <w:lang w:val="hr-HR"/>
        </w:rPr>
        <w:t>.</w:t>
      </w:r>
      <w:r w:rsidR="00FD3A5B"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 </w:t>
      </w:r>
    </w:p>
    <w:p w14:paraId="2A21AB25" w14:textId="77777777" w:rsidR="00C03590" w:rsidRPr="00C52120" w:rsidRDefault="00C03590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4FBD059B" w14:textId="531A1197" w:rsidR="007C66F4" w:rsidRPr="00C52120" w:rsidRDefault="009E59BE" w:rsidP="006D3AE7">
      <w:pPr>
        <w:jc w:val="center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Tablica </w:t>
      </w:r>
      <w:r w:rsidR="005D72AF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5</w:t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. Prikaz </w:t>
      </w:r>
      <w:r w:rsidR="00E77E97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>županijskih rashoda i izdataka</w:t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po upravnim odjelima</w:t>
      </w:r>
    </w:p>
    <w:p w14:paraId="2B84A89B" w14:textId="77777777" w:rsidR="00C03590" w:rsidRPr="00C52120" w:rsidRDefault="00C03590" w:rsidP="00C52120">
      <w:pPr>
        <w:jc w:val="both"/>
        <w:rPr>
          <w:rFonts w:cs="Times New Roman"/>
          <w:b/>
          <w:bCs/>
          <w:color w:val="000000" w:themeColor="text1"/>
          <w:sz w:val="24"/>
          <w:szCs w:val="24"/>
          <w:lang w:val="hr-HR"/>
        </w:rPr>
      </w:pPr>
    </w:p>
    <w:p w14:paraId="2F7FAC2D" w14:textId="35F3CFEC" w:rsidR="007C66F4" w:rsidRPr="00D24D32" w:rsidRDefault="007C66F4" w:rsidP="00C52120">
      <w:pPr>
        <w:jc w:val="both"/>
        <w:rPr>
          <w:rFonts w:cs="Times New Roman"/>
          <w:color w:val="000000" w:themeColor="text1"/>
          <w:lang w:val="hr-HR"/>
        </w:rPr>
      </w:pP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ab/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ab/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ab/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ab/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ab/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ab/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ab/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ab/>
        <w:t xml:space="preserve">        </w:t>
      </w:r>
      <w:r w:rsidR="00C03590"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          </w:t>
      </w:r>
      <w:r w:rsidRPr="00C52120">
        <w:rPr>
          <w:rFonts w:cs="Times New Roman"/>
          <w:b/>
          <w:bCs/>
          <w:color w:val="000000" w:themeColor="text1"/>
          <w:sz w:val="24"/>
          <w:szCs w:val="24"/>
          <w:lang w:val="hr-HR"/>
        </w:rPr>
        <w:t xml:space="preserve"> </w:t>
      </w:r>
      <w:bookmarkStart w:id="2" w:name="_Hlk165961335"/>
      <w:r w:rsidRPr="00C52120">
        <w:rPr>
          <w:rFonts w:cs="Times New Roman"/>
          <w:color w:val="000000" w:themeColor="text1"/>
          <w:sz w:val="24"/>
          <w:szCs w:val="24"/>
          <w:lang w:val="hr-HR"/>
        </w:rPr>
        <w:t xml:space="preserve">- </w:t>
      </w:r>
      <w:r w:rsidRPr="00D24D32">
        <w:rPr>
          <w:rFonts w:cs="Times New Roman"/>
          <w:color w:val="000000" w:themeColor="text1"/>
          <w:lang w:val="hr-HR"/>
        </w:rPr>
        <w:t>iznosi u €</w:t>
      </w:r>
      <w:bookmarkEnd w:id="2"/>
    </w:p>
    <w:p w14:paraId="406D87FE" w14:textId="77777777" w:rsidR="00C03590" w:rsidRPr="00C52120" w:rsidRDefault="00C03590" w:rsidP="00C52120">
      <w:pPr>
        <w:jc w:val="both"/>
        <w:rPr>
          <w:rFonts w:cs="Times New Roman"/>
          <w:color w:val="000000" w:themeColor="text1"/>
          <w:sz w:val="24"/>
          <w:szCs w:val="24"/>
          <w:lang w:val="hr-HR"/>
        </w:rPr>
      </w:pPr>
    </w:p>
    <w:p w14:paraId="5F39E4C5" w14:textId="4EF465BF" w:rsidR="00E34820" w:rsidRPr="00C52120" w:rsidRDefault="00DB6DFC" w:rsidP="00C52120">
      <w:pPr>
        <w:jc w:val="center"/>
        <w:rPr>
          <w:rFonts w:cs="Times New Roman"/>
          <w:color w:val="000000" w:themeColor="text1"/>
          <w:sz w:val="24"/>
          <w:szCs w:val="24"/>
          <w:lang w:val="hr-HR"/>
        </w:rPr>
      </w:pPr>
      <w:r w:rsidRPr="00DB6DFC">
        <w:rPr>
          <w:noProof/>
        </w:rPr>
        <w:drawing>
          <wp:inline distT="0" distB="0" distL="0" distR="0" wp14:anchorId="6D862257" wp14:editId="6C1DD154">
            <wp:extent cx="5114925" cy="4991100"/>
            <wp:effectExtent l="0" t="0" r="9525" b="0"/>
            <wp:docPr id="55566097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CAAA3" w14:textId="77777777" w:rsidR="002832D2" w:rsidRPr="00C52120" w:rsidRDefault="002832D2" w:rsidP="00C52120">
      <w:pPr>
        <w:jc w:val="both"/>
        <w:rPr>
          <w:rFonts w:cs="Times New Roman"/>
          <w:color w:val="000000" w:themeColor="text1"/>
          <w:sz w:val="24"/>
          <w:szCs w:val="24"/>
          <w:u w:val="single"/>
          <w:lang w:val="hr-HR"/>
        </w:rPr>
      </w:pPr>
    </w:p>
    <w:p w14:paraId="22E69A31" w14:textId="5047D271" w:rsidR="00B80F64" w:rsidRPr="00A11264" w:rsidRDefault="00F7472E" w:rsidP="00C52120">
      <w:pPr>
        <w:jc w:val="both"/>
        <w:rPr>
          <w:rFonts w:cs="Times New Roman"/>
          <w:color w:val="FF0000"/>
          <w:sz w:val="24"/>
          <w:szCs w:val="24"/>
          <w:lang w:val="hr-HR"/>
        </w:rPr>
      </w:pPr>
      <w:r w:rsidRPr="00CF07BB">
        <w:rPr>
          <w:rFonts w:cs="Times New Roman"/>
          <w:sz w:val="24"/>
          <w:szCs w:val="24"/>
          <w:lang w:val="hr-HR"/>
        </w:rPr>
        <w:t>Ž</w:t>
      </w:r>
      <w:r w:rsidR="00436177" w:rsidRPr="00CF07BB">
        <w:rPr>
          <w:rFonts w:cs="Times New Roman"/>
          <w:sz w:val="24"/>
          <w:szCs w:val="24"/>
          <w:lang w:val="hr-HR"/>
        </w:rPr>
        <w:t xml:space="preserve">upanijski rashodi i izdaci po upravnim odjelima </w:t>
      </w:r>
      <w:r w:rsidR="00BA178F" w:rsidRPr="00CF07BB">
        <w:rPr>
          <w:rFonts w:cs="Times New Roman"/>
          <w:sz w:val="24"/>
          <w:szCs w:val="24"/>
          <w:lang w:val="hr-HR"/>
        </w:rPr>
        <w:t xml:space="preserve">iznose </w:t>
      </w:r>
      <w:r w:rsidR="00A11264" w:rsidRPr="00CF07BB">
        <w:rPr>
          <w:rFonts w:cs="Times New Roman"/>
          <w:sz w:val="24"/>
          <w:szCs w:val="24"/>
          <w:lang w:val="hr-HR"/>
        </w:rPr>
        <w:t>21.449.429,11</w:t>
      </w:r>
      <w:r w:rsidR="00BA178F" w:rsidRPr="00CF07BB">
        <w:rPr>
          <w:rFonts w:cs="Times New Roman"/>
          <w:sz w:val="24"/>
          <w:szCs w:val="24"/>
          <w:lang w:val="hr-HR"/>
        </w:rPr>
        <w:t xml:space="preserve"> EUR. </w:t>
      </w:r>
      <w:r w:rsidR="00EE2326" w:rsidRPr="00CF07BB">
        <w:rPr>
          <w:rFonts w:cs="Times New Roman"/>
          <w:sz w:val="24"/>
          <w:szCs w:val="24"/>
          <w:lang w:val="hr-HR"/>
        </w:rPr>
        <w:t>Najveći udio rashoda i izdataka</w:t>
      </w:r>
      <w:r w:rsidRPr="00CF07BB">
        <w:rPr>
          <w:rFonts w:cs="Times New Roman"/>
          <w:sz w:val="24"/>
          <w:szCs w:val="24"/>
          <w:lang w:val="hr-HR"/>
        </w:rPr>
        <w:t xml:space="preserve"> nalazi se unutar </w:t>
      </w:r>
      <w:r w:rsidR="00D24D32" w:rsidRPr="00CF07BB">
        <w:rPr>
          <w:rFonts w:cs="Times New Roman"/>
          <w:sz w:val="24"/>
          <w:szCs w:val="24"/>
          <w:lang w:val="hr-HR"/>
        </w:rPr>
        <w:t>U</w:t>
      </w:r>
      <w:r w:rsidRPr="00CF07BB">
        <w:rPr>
          <w:rFonts w:cs="Times New Roman"/>
          <w:sz w:val="24"/>
          <w:szCs w:val="24"/>
          <w:lang w:val="hr-HR"/>
        </w:rPr>
        <w:t xml:space="preserve">pravnog odjela </w:t>
      </w:r>
      <w:r w:rsidR="00CF07BB" w:rsidRPr="00CF07BB">
        <w:rPr>
          <w:rFonts w:cs="Times New Roman"/>
          <w:sz w:val="24"/>
          <w:szCs w:val="24"/>
          <w:lang w:val="hr-HR"/>
        </w:rPr>
        <w:t>za obrazovanje, kulturu, šport i tehničku kulturu</w:t>
      </w:r>
      <w:r w:rsidRPr="00CF07BB">
        <w:rPr>
          <w:rFonts w:cs="Times New Roman"/>
          <w:sz w:val="24"/>
          <w:szCs w:val="24"/>
          <w:lang w:val="hr-HR"/>
        </w:rPr>
        <w:t xml:space="preserve"> u iznosu od </w:t>
      </w:r>
      <w:r w:rsidR="00CF07BB" w:rsidRPr="00CF07BB">
        <w:rPr>
          <w:rFonts w:cs="Times New Roman"/>
          <w:sz w:val="24"/>
          <w:szCs w:val="24"/>
          <w:lang w:val="hr-HR"/>
        </w:rPr>
        <w:t>8.330.905,27</w:t>
      </w:r>
      <w:r w:rsidRPr="00CF07BB">
        <w:rPr>
          <w:rFonts w:cs="Times New Roman"/>
          <w:sz w:val="24"/>
          <w:szCs w:val="24"/>
          <w:lang w:val="hr-HR"/>
        </w:rPr>
        <w:t xml:space="preserve"> EUR </w:t>
      </w:r>
      <w:r w:rsidR="00912456" w:rsidRPr="00CF07BB">
        <w:rPr>
          <w:rFonts w:cs="Times New Roman"/>
          <w:sz w:val="24"/>
          <w:szCs w:val="24"/>
          <w:lang w:val="hr-HR"/>
        </w:rPr>
        <w:t>ili</w:t>
      </w:r>
      <w:r w:rsidRPr="00CF07BB">
        <w:rPr>
          <w:rFonts w:cs="Times New Roman"/>
          <w:sz w:val="24"/>
          <w:szCs w:val="24"/>
          <w:lang w:val="hr-HR"/>
        </w:rPr>
        <w:t xml:space="preserve"> </w:t>
      </w:r>
      <w:r w:rsidR="00CF07BB" w:rsidRPr="00CF07BB">
        <w:rPr>
          <w:rFonts w:cs="Times New Roman"/>
          <w:sz w:val="24"/>
          <w:szCs w:val="24"/>
          <w:lang w:val="hr-HR"/>
        </w:rPr>
        <w:t>32,3</w:t>
      </w:r>
      <w:r w:rsidRPr="00CF07BB">
        <w:rPr>
          <w:rFonts w:cs="Times New Roman"/>
          <w:sz w:val="24"/>
          <w:szCs w:val="24"/>
          <w:lang w:val="hr-HR"/>
        </w:rPr>
        <w:t xml:space="preserve">%. </w:t>
      </w:r>
      <w:r w:rsidR="00D24D32" w:rsidRPr="00CF07BB">
        <w:rPr>
          <w:rFonts w:cs="Times New Roman"/>
          <w:sz w:val="24"/>
          <w:szCs w:val="24"/>
          <w:lang w:val="hr-HR"/>
        </w:rPr>
        <w:t xml:space="preserve">Zatim slijedi Upravni odjel za </w:t>
      </w:r>
      <w:r w:rsidR="00CF07BB" w:rsidRPr="00CF07BB">
        <w:rPr>
          <w:rFonts w:cs="Times New Roman"/>
          <w:sz w:val="24"/>
          <w:szCs w:val="24"/>
          <w:lang w:val="hr-HR"/>
        </w:rPr>
        <w:t>financije i proračun</w:t>
      </w:r>
      <w:r w:rsidR="00D24D32" w:rsidRPr="00CF07BB">
        <w:rPr>
          <w:rFonts w:cs="Times New Roman"/>
          <w:sz w:val="24"/>
          <w:szCs w:val="24"/>
          <w:lang w:val="hr-HR"/>
        </w:rPr>
        <w:t xml:space="preserve"> u iznosu od </w:t>
      </w:r>
      <w:r w:rsidR="00CF07BB" w:rsidRPr="00CF07BB">
        <w:rPr>
          <w:rFonts w:cs="Times New Roman"/>
          <w:sz w:val="24"/>
          <w:szCs w:val="24"/>
          <w:lang w:val="hr-HR"/>
        </w:rPr>
        <w:t>6.047.872,83</w:t>
      </w:r>
      <w:r w:rsidR="00D24D32" w:rsidRPr="00CF07BB">
        <w:rPr>
          <w:rFonts w:cs="Times New Roman"/>
          <w:sz w:val="24"/>
          <w:szCs w:val="24"/>
          <w:lang w:val="hr-HR"/>
        </w:rPr>
        <w:t xml:space="preserve"> EUR, </w:t>
      </w:r>
      <w:r w:rsidR="00A13099" w:rsidRPr="00CF07BB">
        <w:rPr>
          <w:rFonts w:cs="Times New Roman"/>
          <w:sz w:val="24"/>
          <w:szCs w:val="24"/>
          <w:lang w:val="hr-HR"/>
        </w:rPr>
        <w:t xml:space="preserve">Upravni odjel za </w:t>
      </w:r>
      <w:r w:rsidR="00CF07BB" w:rsidRPr="00CF07BB">
        <w:rPr>
          <w:rFonts w:cs="Times New Roman"/>
          <w:sz w:val="24"/>
          <w:szCs w:val="24"/>
          <w:lang w:val="hr-HR"/>
        </w:rPr>
        <w:t xml:space="preserve">prostorno uređenja, gradnju i zaštitu okoliša </w:t>
      </w:r>
      <w:r w:rsidR="00A13099" w:rsidRPr="00CF07BB">
        <w:rPr>
          <w:rFonts w:cs="Times New Roman"/>
          <w:sz w:val="24"/>
          <w:szCs w:val="24"/>
          <w:lang w:val="hr-HR"/>
        </w:rPr>
        <w:t xml:space="preserve">u iznosu od </w:t>
      </w:r>
      <w:r w:rsidR="00CF07BB" w:rsidRPr="00CF07BB">
        <w:rPr>
          <w:rFonts w:cs="Times New Roman"/>
          <w:sz w:val="24"/>
          <w:szCs w:val="24"/>
          <w:lang w:val="hr-HR"/>
        </w:rPr>
        <w:t>2.722.335,91</w:t>
      </w:r>
      <w:r w:rsidR="00A13099" w:rsidRPr="00CF07BB">
        <w:rPr>
          <w:rFonts w:cs="Times New Roman"/>
          <w:sz w:val="24"/>
          <w:szCs w:val="24"/>
          <w:lang w:val="hr-HR"/>
        </w:rPr>
        <w:t xml:space="preserve"> EUR, Upravni odjel za </w:t>
      </w:r>
      <w:r w:rsidR="00CF07BB" w:rsidRPr="00CF07BB">
        <w:rPr>
          <w:rFonts w:cs="Times New Roman"/>
          <w:sz w:val="24"/>
          <w:szCs w:val="24"/>
          <w:lang w:val="hr-HR"/>
        </w:rPr>
        <w:t>gospodarstvo, poljoprivredu, turizam, promet i komunalnu infrastrukturu</w:t>
      </w:r>
      <w:r w:rsidR="00A13099" w:rsidRPr="00CF07BB">
        <w:rPr>
          <w:rFonts w:cs="Times New Roman"/>
          <w:sz w:val="24"/>
          <w:szCs w:val="24"/>
          <w:lang w:val="hr-HR"/>
        </w:rPr>
        <w:t xml:space="preserve"> u iznosu </w:t>
      </w:r>
      <w:r w:rsidR="00CF07BB" w:rsidRPr="00CF07BB">
        <w:rPr>
          <w:rFonts w:cs="Times New Roman"/>
          <w:sz w:val="24"/>
          <w:szCs w:val="24"/>
          <w:lang w:val="hr-HR"/>
        </w:rPr>
        <w:t>od 1.666.588,78</w:t>
      </w:r>
      <w:r w:rsidR="00A13099" w:rsidRPr="00CF07BB">
        <w:rPr>
          <w:rFonts w:cs="Times New Roman"/>
          <w:sz w:val="24"/>
          <w:szCs w:val="24"/>
          <w:lang w:val="hr-HR"/>
        </w:rPr>
        <w:t xml:space="preserve"> EUR, Upravni odjel za</w:t>
      </w:r>
      <w:r w:rsidR="00CF07BB" w:rsidRPr="00CF07BB">
        <w:rPr>
          <w:rFonts w:cs="Times New Roman"/>
          <w:sz w:val="24"/>
          <w:szCs w:val="24"/>
          <w:lang w:val="hr-HR"/>
        </w:rPr>
        <w:t xml:space="preserve"> poslove župana i </w:t>
      </w:r>
      <w:r w:rsidR="000879C7">
        <w:rPr>
          <w:rFonts w:cs="Times New Roman"/>
          <w:sz w:val="24"/>
          <w:szCs w:val="24"/>
          <w:lang w:val="hr-HR"/>
        </w:rPr>
        <w:t>Ž</w:t>
      </w:r>
      <w:r w:rsidR="00CF07BB" w:rsidRPr="00CF07BB">
        <w:rPr>
          <w:rFonts w:cs="Times New Roman"/>
          <w:sz w:val="24"/>
          <w:szCs w:val="24"/>
          <w:lang w:val="hr-HR"/>
        </w:rPr>
        <w:t>upanijske skupštine</w:t>
      </w:r>
      <w:r w:rsidR="00A13099" w:rsidRPr="00CF07BB">
        <w:rPr>
          <w:rFonts w:cs="Times New Roman"/>
          <w:sz w:val="24"/>
          <w:szCs w:val="24"/>
          <w:lang w:val="hr-HR"/>
        </w:rPr>
        <w:t xml:space="preserve"> u iznosu od </w:t>
      </w:r>
      <w:r w:rsidR="00CF07BB" w:rsidRPr="00CF07BB">
        <w:rPr>
          <w:rFonts w:cs="Times New Roman"/>
          <w:sz w:val="24"/>
          <w:szCs w:val="24"/>
          <w:lang w:val="hr-HR"/>
        </w:rPr>
        <w:t>1.047.770,69</w:t>
      </w:r>
      <w:r w:rsidR="00A13099" w:rsidRPr="00CF07BB">
        <w:rPr>
          <w:rFonts w:cs="Times New Roman"/>
          <w:sz w:val="24"/>
          <w:szCs w:val="24"/>
          <w:lang w:val="hr-HR"/>
        </w:rPr>
        <w:t xml:space="preserve"> EUR, Upravni odjel za </w:t>
      </w:r>
      <w:r w:rsidR="00CF07BB" w:rsidRPr="00CF07BB">
        <w:rPr>
          <w:rFonts w:cs="Times New Roman"/>
          <w:sz w:val="24"/>
          <w:szCs w:val="24"/>
          <w:lang w:val="hr-HR"/>
        </w:rPr>
        <w:t xml:space="preserve">zdravstvo, socijalnu politiku, branitelje, civilno društvo i mlade </w:t>
      </w:r>
      <w:r w:rsidR="00A13099" w:rsidRPr="00CF07BB">
        <w:rPr>
          <w:rFonts w:cs="Times New Roman"/>
          <w:sz w:val="24"/>
          <w:szCs w:val="24"/>
          <w:lang w:val="hr-HR"/>
        </w:rPr>
        <w:t xml:space="preserve">u iznosu od </w:t>
      </w:r>
      <w:r w:rsidR="00CF07BB" w:rsidRPr="00CF07BB">
        <w:rPr>
          <w:rFonts w:cs="Times New Roman"/>
          <w:sz w:val="24"/>
          <w:szCs w:val="24"/>
          <w:lang w:val="hr-HR"/>
        </w:rPr>
        <w:t>984.217,80</w:t>
      </w:r>
      <w:r w:rsidR="00A13099" w:rsidRPr="00CF07BB">
        <w:rPr>
          <w:rFonts w:cs="Times New Roman"/>
          <w:sz w:val="24"/>
          <w:szCs w:val="24"/>
          <w:lang w:val="hr-HR"/>
        </w:rPr>
        <w:t xml:space="preserve"> EUR, Upravni odjel za opću upravu, imovinsko-pravne i zajedničke poslove u iznosu od </w:t>
      </w:r>
      <w:r w:rsidR="00CF07BB" w:rsidRPr="00CF07BB">
        <w:rPr>
          <w:rFonts w:cs="Times New Roman"/>
          <w:sz w:val="24"/>
          <w:szCs w:val="24"/>
          <w:lang w:val="hr-HR"/>
        </w:rPr>
        <w:t>417.918,82</w:t>
      </w:r>
      <w:r w:rsidR="00A13099" w:rsidRPr="00CF07BB">
        <w:rPr>
          <w:rFonts w:cs="Times New Roman"/>
          <w:sz w:val="24"/>
          <w:szCs w:val="24"/>
          <w:lang w:val="hr-HR"/>
        </w:rPr>
        <w:t xml:space="preserve"> EUR te Upravni odjel za </w:t>
      </w:r>
      <w:r w:rsidR="00CF07BB" w:rsidRPr="00CF07BB">
        <w:rPr>
          <w:rFonts w:cs="Times New Roman"/>
          <w:sz w:val="24"/>
          <w:szCs w:val="24"/>
          <w:lang w:val="hr-HR"/>
        </w:rPr>
        <w:t>javnu nabavu i EU fondove</w:t>
      </w:r>
      <w:r w:rsidR="00A13099" w:rsidRPr="00CF07BB">
        <w:rPr>
          <w:rFonts w:cs="Times New Roman"/>
          <w:sz w:val="24"/>
          <w:szCs w:val="24"/>
          <w:lang w:val="hr-HR"/>
        </w:rPr>
        <w:t xml:space="preserve"> u iznosu od </w:t>
      </w:r>
      <w:r w:rsidR="00CF07BB" w:rsidRPr="00CF07BB">
        <w:rPr>
          <w:rFonts w:cs="Times New Roman"/>
          <w:sz w:val="24"/>
          <w:szCs w:val="24"/>
          <w:lang w:val="hr-HR"/>
        </w:rPr>
        <w:t>231.819,01</w:t>
      </w:r>
      <w:r w:rsidR="00A13099" w:rsidRPr="00CF07BB">
        <w:rPr>
          <w:rFonts w:cs="Times New Roman"/>
          <w:sz w:val="24"/>
          <w:szCs w:val="24"/>
          <w:lang w:val="hr-HR"/>
        </w:rPr>
        <w:t xml:space="preserve"> EUR.</w:t>
      </w:r>
    </w:p>
    <w:p w14:paraId="4F825164" w14:textId="77777777" w:rsidR="00B80F64" w:rsidRPr="00A11264" w:rsidRDefault="00B80F64" w:rsidP="00C52120">
      <w:pPr>
        <w:jc w:val="both"/>
        <w:rPr>
          <w:rFonts w:cs="Times New Roman"/>
          <w:b/>
          <w:color w:val="FF0000"/>
          <w:sz w:val="24"/>
          <w:szCs w:val="24"/>
          <w:lang w:val="hr-HR"/>
        </w:rPr>
      </w:pPr>
    </w:p>
    <w:p w14:paraId="20B81A4E" w14:textId="77777777" w:rsidR="00C03590" w:rsidRDefault="00C03590" w:rsidP="00C52120">
      <w:pPr>
        <w:jc w:val="both"/>
        <w:rPr>
          <w:rFonts w:cs="Times New Roman"/>
          <w:b/>
          <w:bCs/>
          <w:color w:val="FF0000"/>
          <w:sz w:val="24"/>
          <w:szCs w:val="24"/>
          <w:lang w:val="hr-HR"/>
        </w:rPr>
      </w:pPr>
    </w:p>
    <w:p w14:paraId="79278C02" w14:textId="77777777" w:rsidR="00384825" w:rsidRPr="00A11264" w:rsidRDefault="00384825" w:rsidP="00C52120">
      <w:pPr>
        <w:jc w:val="both"/>
        <w:rPr>
          <w:rFonts w:cs="Times New Roman"/>
          <w:b/>
          <w:bCs/>
          <w:color w:val="FF0000"/>
          <w:sz w:val="24"/>
          <w:szCs w:val="24"/>
          <w:lang w:val="hr-HR"/>
        </w:rPr>
      </w:pPr>
    </w:p>
    <w:p w14:paraId="32714A69" w14:textId="20306ADE" w:rsidR="00F7472E" w:rsidRPr="000879C7" w:rsidRDefault="00F7472E" w:rsidP="00C52120">
      <w:pPr>
        <w:jc w:val="both"/>
        <w:rPr>
          <w:rFonts w:cs="Times New Roman"/>
          <w:b/>
          <w:bCs/>
          <w:sz w:val="24"/>
          <w:szCs w:val="24"/>
          <w:lang w:val="hr-HR"/>
        </w:rPr>
      </w:pPr>
      <w:r w:rsidRPr="000879C7">
        <w:rPr>
          <w:rFonts w:cs="Times New Roman"/>
          <w:b/>
          <w:bCs/>
          <w:sz w:val="24"/>
          <w:szCs w:val="24"/>
          <w:lang w:val="hr-HR"/>
        </w:rPr>
        <w:lastRenderedPageBreak/>
        <w:t xml:space="preserve">Tablica </w:t>
      </w:r>
      <w:r w:rsidR="00703228" w:rsidRPr="000879C7">
        <w:rPr>
          <w:rFonts w:cs="Times New Roman"/>
          <w:b/>
          <w:bCs/>
          <w:sz w:val="24"/>
          <w:szCs w:val="24"/>
          <w:lang w:val="hr-HR"/>
        </w:rPr>
        <w:t>6</w:t>
      </w:r>
      <w:r w:rsidRPr="000879C7">
        <w:rPr>
          <w:rFonts w:cs="Times New Roman"/>
          <w:b/>
          <w:bCs/>
          <w:sz w:val="24"/>
          <w:szCs w:val="24"/>
          <w:lang w:val="hr-HR"/>
        </w:rPr>
        <w:t xml:space="preserve">. Rashodi i izdaci prema funkcijskoj klasifikaciji </w:t>
      </w:r>
    </w:p>
    <w:p w14:paraId="7225E28E" w14:textId="77777777" w:rsidR="00F7472E" w:rsidRPr="00395ED8" w:rsidRDefault="00F7472E" w:rsidP="00C52120">
      <w:pPr>
        <w:jc w:val="both"/>
        <w:rPr>
          <w:rFonts w:cs="Times New Roman"/>
          <w:b/>
          <w:color w:val="ED0000"/>
          <w:sz w:val="24"/>
          <w:szCs w:val="24"/>
          <w:lang w:val="hr-HR"/>
        </w:rPr>
      </w:pPr>
    </w:p>
    <w:p w14:paraId="241C4B18" w14:textId="255AA5DF" w:rsidR="00C03590" w:rsidRPr="00A81E89" w:rsidRDefault="00C03590" w:rsidP="00C52120">
      <w:pPr>
        <w:ind w:left="6372" w:firstLine="708"/>
        <w:jc w:val="both"/>
        <w:rPr>
          <w:rFonts w:cs="Times New Roman"/>
          <w:b/>
          <w:sz w:val="24"/>
          <w:szCs w:val="24"/>
          <w:lang w:val="hr-HR"/>
        </w:rPr>
      </w:pPr>
      <w:r w:rsidRPr="00A81E89">
        <w:rPr>
          <w:rFonts w:cs="Times New Roman"/>
          <w:sz w:val="24"/>
          <w:szCs w:val="24"/>
          <w:lang w:val="hr-HR"/>
        </w:rPr>
        <w:t xml:space="preserve">- </w:t>
      </w:r>
      <w:r w:rsidRPr="00A81E89">
        <w:rPr>
          <w:rFonts w:cs="Times New Roman"/>
          <w:lang w:val="hr-HR"/>
        </w:rPr>
        <w:t>iznosi u €</w:t>
      </w:r>
    </w:p>
    <w:p w14:paraId="10283475" w14:textId="77777777" w:rsidR="00C03590" w:rsidRPr="00A11264" w:rsidRDefault="00C03590" w:rsidP="00C52120">
      <w:pPr>
        <w:jc w:val="both"/>
        <w:rPr>
          <w:rFonts w:cs="Times New Roman"/>
          <w:b/>
          <w:color w:val="FF0000"/>
          <w:sz w:val="24"/>
          <w:szCs w:val="24"/>
          <w:lang w:val="hr-HR"/>
        </w:rPr>
      </w:pPr>
    </w:p>
    <w:p w14:paraId="2DB938F4" w14:textId="53C57F9E" w:rsidR="00121E52" w:rsidRPr="00A11264" w:rsidRDefault="00D11B59" w:rsidP="00C52120">
      <w:pPr>
        <w:jc w:val="both"/>
        <w:rPr>
          <w:rFonts w:cs="Times New Roman"/>
          <w:b/>
          <w:color w:val="FF0000"/>
          <w:sz w:val="24"/>
          <w:szCs w:val="24"/>
          <w:lang w:val="hr-HR"/>
        </w:rPr>
      </w:pPr>
      <w:r w:rsidRPr="00D11B59">
        <w:rPr>
          <w:noProof/>
        </w:rPr>
        <w:drawing>
          <wp:inline distT="0" distB="0" distL="0" distR="0" wp14:anchorId="55CFED70" wp14:editId="68D2070F">
            <wp:extent cx="5668342" cy="1836751"/>
            <wp:effectExtent l="0" t="0" r="0" b="0"/>
            <wp:docPr id="50704801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914" cy="1855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BEB78" w14:textId="77777777" w:rsidR="00912456" w:rsidRPr="00A11264" w:rsidRDefault="00912456" w:rsidP="00C52120">
      <w:pPr>
        <w:jc w:val="both"/>
        <w:rPr>
          <w:rFonts w:cs="Times New Roman"/>
          <w:b/>
          <w:color w:val="FF0000"/>
          <w:sz w:val="24"/>
          <w:szCs w:val="24"/>
          <w:lang w:val="hr-HR"/>
        </w:rPr>
      </w:pPr>
    </w:p>
    <w:p w14:paraId="3D37EA01" w14:textId="14472F9E" w:rsidR="00121E52" w:rsidRPr="00A11264" w:rsidRDefault="00121E52" w:rsidP="00C52120">
      <w:pPr>
        <w:jc w:val="both"/>
        <w:rPr>
          <w:rFonts w:cs="Times New Roman"/>
          <w:bCs/>
          <w:color w:val="FF0000"/>
          <w:sz w:val="24"/>
          <w:szCs w:val="24"/>
          <w:lang w:val="hr-HR"/>
        </w:rPr>
      </w:pPr>
      <w:r w:rsidRPr="00A81E89">
        <w:rPr>
          <w:rFonts w:cs="Times New Roman"/>
          <w:bCs/>
          <w:sz w:val="24"/>
          <w:szCs w:val="24"/>
          <w:lang w:val="hr-HR"/>
        </w:rPr>
        <w:t xml:space="preserve">Najveći udio rashoda i izdataka prema funkcijskoj klasifikaciji u </w:t>
      </w:r>
      <w:r w:rsidRPr="000879C7">
        <w:rPr>
          <w:rFonts w:cs="Times New Roman"/>
          <w:bCs/>
          <w:sz w:val="24"/>
          <w:szCs w:val="24"/>
          <w:lang w:val="hr-HR"/>
        </w:rPr>
        <w:t xml:space="preserve">iznosu od </w:t>
      </w:r>
      <w:r w:rsidR="00A81E89" w:rsidRPr="000879C7">
        <w:rPr>
          <w:rFonts w:cs="Times New Roman"/>
          <w:bCs/>
          <w:sz w:val="24"/>
          <w:szCs w:val="24"/>
          <w:lang w:val="hr-HR"/>
        </w:rPr>
        <w:t>39.</w:t>
      </w:r>
      <w:r w:rsidR="00B55BCE" w:rsidRPr="000879C7">
        <w:rPr>
          <w:rFonts w:cs="Times New Roman"/>
          <w:bCs/>
          <w:sz w:val="24"/>
          <w:szCs w:val="24"/>
          <w:lang w:val="hr-HR"/>
        </w:rPr>
        <w:t>169.375,12</w:t>
      </w:r>
      <w:r w:rsidRPr="000879C7">
        <w:rPr>
          <w:rFonts w:cs="Times New Roman"/>
          <w:bCs/>
          <w:sz w:val="24"/>
          <w:szCs w:val="24"/>
          <w:lang w:val="hr-HR"/>
        </w:rPr>
        <w:t xml:space="preserve"> </w:t>
      </w:r>
      <w:r w:rsidR="00603E94" w:rsidRPr="000879C7">
        <w:rPr>
          <w:rFonts w:cs="Times New Roman"/>
          <w:bCs/>
          <w:sz w:val="24"/>
          <w:szCs w:val="24"/>
          <w:lang w:val="hr-HR"/>
        </w:rPr>
        <w:t xml:space="preserve">EUR </w:t>
      </w:r>
      <w:r w:rsidRPr="00A81E89">
        <w:rPr>
          <w:rFonts w:cs="Times New Roman"/>
          <w:bCs/>
          <w:sz w:val="24"/>
          <w:szCs w:val="24"/>
          <w:lang w:val="hr-HR"/>
        </w:rPr>
        <w:t>odnosi se na funkcijsku klasifikaciju 09 Obrazovanje.</w:t>
      </w:r>
      <w:r w:rsidR="00603E94" w:rsidRPr="00A81E89">
        <w:rPr>
          <w:rFonts w:cs="Times New Roman"/>
          <w:bCs/>
          <w:sz w:val="24"/>
          <w:szCs w:val="24"/>
          <w:lang w:val="hr-HR"/>
        </w:rPr>
        <w:t xml:space="preserve"> Zatim slijedi funkcijska klasifikacija 07 Zdravstvo u iznosu od </w:t>
      </w:r>
      <w:r w:rsidR="00A81E89" w:rsidRPr="00A81E89">
        <w:rPr>
          <w:rFonts w:cs="Times New Roman"/>
          <w:bCs/>
          <w:sz w:val="24"/>
          <w:szCs w:val="24"/>
          <w:lang w:val="hr-HR"/>
        </w:rPr>
        <w:t>32.509.075,11</w:t>
      </w:r>
      <w:r w:rsidR="00603E94" w:rsidRPr="00A81E89">
        <w:rPr>
          <w:rFonts w:cs="Times New Roman"/>
          <w:bCs/>
          <w:sz w:val="24"/>
          <w:szCs w:val="24"/>
          <w:lang w:val="hr-HR"/>
        </w:rPr>
        <w:t xml:space="preserve"> EUR te funkcijska klasifikacija 01 Opće javne usluge u iznosu od </w:t>
      </w:r>
      <w:r w:rsidR="00A81E89" w:rsidRPr="00A81E89">
        <w:rPr>
          <w:rFonts w:cs="Times New Roman"/>
          <w:bCs/>
          <w:sz w:val="24"/>
          <w:szCs w:val="24"/>
          <w:lang w:val="hr-HR"/>
        </w:rPr>
        <w:t>3.671.071,99</w:t>
      </w:r>
      <w:r w:rsidR="00603E94" w:rsidRPr="00A81E89">
        <w:rPr>
          <w:rFonts w:cs="Times New Roman"/>
          <w:bCs/>
          <w:sz w:val="24"/>
          <w:szCs w:val="24"/>
          <w:lang w:val="hr-HR"/>
        </w:rPr>
        <w:t xml:space="preserve"> EUR. Ostale funkcijske klasifikacije odnose se na javni red i sigurnost, zaštitu okoliša, ekonomski poslovi, usluge unapređenja stanovanja i zajednice, rekreaciju, kulturu i religiju te socijalnu zaštitu u iznosu od </w:t>
      </w:r>
      <w:r w:rsidR="00A81E89" w:rsidRPr="00A81E89">
        <w:rPr>
          <w:rFonts w:cs="Times New Roman"/>
          <w:bCs/>
          <w:sz w:val="24"/>
          <w:szCs w:val="24"/>
          <w:lang w:val="hr-HR"/>
        </w:rPr>
        <w:t>5.997.028,26</w:t>
      </w:r>
      <w:r w:rsidR="00603E94" w:rsidRPr="00A81E89">
        <w:rPr>
          <w:rFonts w:cs="Times New Roman"/>
          <w:bCs/>
          <w:sz w:val="24"/>
          <w:szCs w:val="24"/>
          <w:lang w:val="hr-HR"/>
        </w:rPr>
        <w:t xml:space="preserve"> EUR.</w:t>
      </w:r>
    </w:p>
    <w:p w14:paraId="72EF35EC" w14:textId="77777777" w:rsidR="001855E3" w:rsidRPr="005944E5" w:rsidRDefault="001855E3" w:rsidP="00C52120">
      <w:pPr>
        <w:jc w:val="both"/>
        <w:rPr>
          <w:rFonts w:cs="Times New Roman"/>
          <w:b/>
          <w:sz w:val="24"/>
          <w:szCs w:val="24"/>
          <w:lang w:val="hr-HR"/>
        </w:rPr>
      </w:pPr>
    </w:p>
    <w:p w14:paraId="4328B532" w14:textId="2CCA7D4C" w:rsidR="00121E52" w:rsidRPr="005944E5" w:rsidRDefault="00081BAB" w:rsidP="00C52120">
      <w:pPr>
        <w:jc w:val="both"/>
        <w:rPr>
          <w:rFonts w:cs="Times New Roman"/>
          <w:b/>
          <w:sz w:val="24"/>
          <w:szCs w:val="24"/>
          <w:lang w:val="hr-HR"/>
        </w:rPr>
      </w:pPr>
      <w:r w:rsidRPr="005944E5">
        <w:rPr>
          <w:rFonts w:cs="Times New Roman"/>
          <w:b/>
          <w:sz w:val="24"/>
          <w:szCs w:val="24"/>
          <w:lang w:val="hr-HR"/>
        </w:rPr>
        <w:t>Račun financiranja</w:t>
      </w:r>
    </w:p>
    <w:p w14:paraId="2CA00B22" w14:textId="77777777" w:rsidR="00F374B0" w:rsidRPr="00A11264" w:rsidRDefault="00F374B0" w:rsidP="00C52120">
      <w:pPr>
        <w:jc w:val="both"/>
        <w:rPr>
          <w:rFonts w:cs="Times New Roman"/>
          <w:color w:val="FF0000"/>
          <w:sz w:val="24"/>
          <w:szCs w:val="24"/>
          <w:lang w:val="hr-HR"/>
        </w:rPr>
      </w:pPr>
    </w:p>
    <w:p w14:paraId="0E97AC9A" w14:textId="2437E63E" w:rsidR="00081BAB" w:rsidRPr="005944E5" w:rsidRDefault="00B80F64" w:rsidP="00C52120">
      <w:pPr>
        <w:jc w:val="both"/>
        <w:rPr>
          <w:rFonts w:cs="Times New Roman"/>
          <w:sz w:val="24"/>
          <w:szCs w:val="24"/>
          <w:lang w:val="hr-HR"/>
        </w:rPr>
      </w:pPr>
      <w:r w:rsidRPr="005944E5">
        <w:rPr>
          <w:rFonts w:cs="Times New Roman"/>
          <w:sz w:val="24"/>
          <w:szCs w:val="24"/>
          <w:lang w:val="hr-HR"/>
        </w:rPr>
        <w:t xml:space="preserve">Primici od financijske imovine i zaduživanja (konsolidirani Proračun) iznose </w:t>
      </w:r>
      <w:r w:rsidR="005944E5" w:rsidRPr="005944E5">
        <w:rPr>
          <w:rFonts w:cs="Times New Roman"/>
          <w:sz w:val="24"/>
          <w:szCs w:val="24"/>
          <w:lang w:val="hr-HR"/>
        </w:rPr>
        <w:t>206.802,33</w:t>
      </w:r>
      <w:r w:rsidR="00A763E2">
        <w:rPr>
          <w:rFonts w:cs="Times New Roman"/>
          <w:sz w:val="24"/>
          <w:szCs w:val="24"/>
          <w:lang w:val="hr-HR"/>
        </w:rPr>
        <w:t xml:space="preserve"> </w:t>
      </w:r>
      <w:r w:rsidR="00081BAB" w:rsidRPr="005944E5">
        <w:rPr>
          <w:rFonts w:cs="Times New Roman"/>
          <w:sz w:val="24"/>
          <w:szCs w:val="24"/>
          <w:lang w:val="hr-HR"/>
        </w:rPr>
        <w:t>EUR</w:t>
      </w:r>
      <w:r w:rsidRPr="005944E5">
        <w:rPr>
          <w:rFonts w:cs="Times New Roman"/>
          <w:sz w:val="24"/>
          <w:szCs w:val="24"/>
          <w:lang w:val="hr-HR"/>
        </w:rPr>
        <w:t xml:space="preserve"> što predstavlja </w:t>
      </w:r>
      <w:r w:rsidR="00081BAB" w:rsidRPr="005944E5">
        <w:rPr>
          <w:rFonts w:cs="Times New Roman"/>
          <w:sz w:val="24"/>
          <w:szCs w:val="24"/>
          <w:lang w:val="hr-HR"/>
        </w:rPr>
        <w:t>1</w:t>
      </w:r>
      <w:r w:rsidR="005944E5" w:rsidRPr="005944E5">
        <w:rPr>
          <w:rFonts w:cs="Times New Roman"/>
          <w:sz w:val="24"/>
          <w:szCs w:val="24"/>
          <w:lang w:val="hr-HR"/>
        </w:rPr>
        <w:t>5,7</w:t>
      </w:r>
      <w:r w:rsidRPr="005944E5">
        <w:rPr>
          <w:rFonts w:cs="Times New Roman"/>
          <w:sz w:val="24"/>
          <w:szCs w:val="24"/>
          <w:lang w:val="hr-HR"/>
        </w:rPr>
        <w:t xml:space="preserve">% </w:t>
      </w:r>
      <w:r w:rsidR="00081BAB" w:rsidRPr="005944E5">
        <w:rPr>
          <w:rFonts w:cs="Times New Roman"/>
          <w:sz w:val="24"/>
          <w:szCs w:val="24"/>
          <w:lang w:val="hr-HR"/>
        </w:rPr>
        <w:t xml:space="preserve">godišnjeg plana, dok izdaci za </w:t>
      </w:r>
      <w:r w:rsidRPr="005944E5">
        <w:rPr>
          <w:rFonts w:cs="Times New Roman"/>
          <w:sz w:val="24"/>
          <w:szCs w:val="24"/>
          <w:lang w:val="hr-HR"/>
        </w:rPr>
        <w:t xml:space="preserve">financijsku imovinu i otplate zajmova iznose </w:t>
      </w:r>
      <w:r w:rsidR="005944E5" w:rsidRPr="005944E5">
        <w:rPr>
          <w:rFonts w:cs="Times New Roman"/>
          <w:sz w:val="24"/>
          <w:szCs w:val="24"/>
          <w:lang w:val="hr-HR"/>
        </w:rPr>
        <w:t>4.070.371,03</w:t>
      </w:r>
      <w:r w:rsidR="00081BAB" w:rsidRPr="005944E5">
        <w:rPr>
          <w:rFonts w:cs="Times New Roman"/>
          <w:sz w:val="24"/>
          <w:szCs w:val="24"/>
          <w:lang w:val="hr-HR"/>
        </w:rPr>
        <w:t xml:space="preserve"> EUR</w:t>
      </w:r>
      <w:r w:rsidRPr="005944E5">
        <w:rPr>
          <w:rFonts w:cs="Times New Roman"/>
          <w:sz w:val="24"/>
          <w:szCs w:val="24"/>
          <w:lang w:val="hr-HR"/>
        </w:rPr>
        <w:t xml:space="preserve"> što predstavlja </w:t>
      </w:r>
      <w:r w:rsidR="005944E5" w:rsidRPr="005944E5">
        <w:rPr>
          <w:rFonts w:cs="Times New Roman"/>
          <w:sz w:val="24"/>
          <w:szCs w:val="24"/>
          <w:lang w:val="hr-HR"/>
        </w:rPr>
        <w:t>156,8</w:t>
      </w:r>
      <w:r w:rsidRPr="005944E5">
        <w:rPr>
          <w:rFonts w:cs="Times New Roman"/>
          <w:sz w:val="24"/>
          <w:szCs w:val="24"/>
          <w:lang w:val="hr-HR"/>
        </w:rPr>
        <w:t xml:space="preserve">% </w:t>
      </w:r>
      <w:r w:rsidR="00081BAB" w:rsidRPr="005944E5">
        <w:rPr>
          <w:rFonts w:cs="Times New Roman"/>
          <w:sz w:val="24"/>
          <w:szCs w:val="24"/>
          <w:lang w:val="hr-HR"/>
        </w:rPr>
        <w:t>godišnjeg plana</w:t>
      </w:r>
      <w:r w:rsidRPr="005944E5">
        <w:rPr>
          <w:rFonts w:cs="Times New Roman"/>
          <w:sz w:val="24"/>
          <w:szCs w:val="24"/>
          <w:lang w:val="hr-HR"/>
        </w:rPr>
        <w:t>.</w:t>
      </w:r>
    </w:p>
    <w:p w14:paraId="34F338A5" w14:textId="00E01218" w:rsidR="00B80F64" w:rsidRPr="005944E5" w:rsidRDefault="00B80F64" w:rsidP="00C52120">
      <w:pPr>
        <w:jc w:val="both"/>
        <w:rPr>
          <w:rFonts w:cs="Times New Roman"/>
          <w:sz w:val="24"/>
          <w:szCs w:val="24"/>
          <w:lang w:val="hr-HR"/>
        </w:rPr>
      </w:pPr>
      <w:r w:rsidRPr="005944E5">
        <w:rPr>
          <w:rFonts w:cs="Times New Roman"/>
          <w:sz w:val="24"/>
          <w:szCs w:val="24"/>
          <w:lang w:val="hr-HR"/>
        </w:rPr>
        <w:t xml:space="preserve">Račun financiranja (županijski </w:t>
      </w:r>
      <w:r w:rsidR="005A526A" w:rsidRPr="005944E5">
        <w:rPr>
          <w:rFonts w:cs="Times New Roman"/>
          <w:sz w:val="24"/>
          <w:szCs w:val="24"/>
          <w:lang w:val="hr-HR"/>
        </w:rPr>
        <w:t>proračun</w:t>
      </w:r>
      <w:r w:rsidRPr="005944E5">
        <w:rPr>
          <w:rFonts w:cs="Times New Roman"/>
          <w:sz w:val="24"/>
          <w:szCs w:val="24"/>
          <w:lang w:val="hr-HR"/>
        </w:rPr>
        <w:t xml:space="preserve">) sadrži primitke realizirane u iznosu od </w:t>
      </w:r>
      <w:r w:rsidR="005944E5" w:rsidRPr="005944E5">
        <w:rPr>
          <w:rFonts w:cs="Times New Roman"/>
          <w:sz w:val="24"/>
          <w:szCs w:val="24"/>
          <w:lang w:val="hr-HR"/>
        </w:rPr>
        <w:t>6.802,33</w:t>
      </w:r>
      <w:r w:rsidRPr="005944E5">
        <w:rPr>
          <w:rFonts w:cs="Times New Roman"/>
          <w:sz w:val="24"/>
          <w:szCs w:val="24"/>
          <w:lang w:val="hr-HR"/>
        </w:rPr>
        <w:t xml:space="preserve"> </w:t>
      </w:r>
      <w:r w:rsidR="005A526A" w:rsidRPr="005944E5">
        <w:rPr>
          <w:rFonts w:cs="Times New Roman"/>
          <w:sz w:val="24"/>
          <w:szCs w:val="24"/>
          <w:lang w:val="hr-HR"/>
        </w:rPr>
        <w:t>EUR</w:t>
      </w:r>
      <w:r w:rsidRPr="005944E5">
        <w:rPr>
          <w:rFonts w:cs="Times New Roman"/>
          <w:sz w:val="24"/>
          <w:szCs w:val="24"/>
          <w:lang w:val="hr-HR"/>
        </w:rPr>
        <w:t xml:space="preserve"> te izdatke koji su realizirani u iznosu od </w:t>
      </w:r>
      <w:r w:rsidR="005944E5" w:rsidRPr="005944E5">
        <w:rPr>
          <w:rFonts w:cs="Times New Roman"/>
          <w:sz w:val="24"/>
          <w:szCs w:val="24"/>
          <w:lang w:val="hr-HR"/>
        </w:rPr>
        <w:t>4.070.264,45</w:t>
      </w:r>
      <w:r w:rsidRPr="005944E5">
        <w:rPr>
          <w:rFonts w:cs="Times New Roman"/>
          <w:sz w:val="24"/>
          <w:szCs w:val="24"/>
          <w:lang w:val="hr-HR"/>
        </w:rPr>
        <w:t xml:space="preserve"> </w:t>
      </w:r>
      <w:r w:rsidR="005A526A" w:rsidRPr="005944E5">
        <w:rPr>
          <w:rFonts w:cs="Times New Roman"/>
          <w:sz w:val="24"/>
          <w:szCs w:val="24"/>
          <w:lang w:val="hr-HR"/>
        </w:rPr>
        <w:t>EUR</w:t>
      </w:r>
      <w:r w:rsidRPr="005944E5">
        <w:rPr>
          <w:rFonts w:cs="Times New Roman"/>
          <w:sz w:val="24"/>
          <w:szCs w:val="24"/>
          <w:lang w:val="hr-HR"/>
        </w:rPr>
        <w:t>.</w:t>
      </w:r>
    </w:p>
    <w:p w14:paraId="71D0E7E2" w14:textId="1CE263E8" w:rsidR="00B80F64" w:rsidRPr="005944E5" w:rsidRDefault="00B80F64" w:rsidP="00C52120">
      <w:pPr>
        <w:jc w:val="both"/>
        <w:rPr>
          <w:rFonts w:cs="Times New Roman"/>
          <w:sz w:val="24"/>
          <w:szCs w:val="24"/>
          <w:lang w:val="hr-HR"/>
        </w:rPr>
      </w:pPr>
      <w:r w:rsidRPr="005944E5">
        <w:rPr>
          <w:rFonts w:cs="Times New Roman"/>
          <w:sz w:val="24"/>
          <w:szCs w:val="24"/>
          <w:lang w:val="hr-HR"/>
        </w:rPr>
        <w:t xml:space="preserve">Primici </w:t>
      </w:r>
      <w:r w:rsidR="00703228" w:rsidRPr="005944E5">
        <w:rPr>
          <w:rFonts w:cs="Times New Roman"/>
          <w:sz w:val="24"/>
          <w:szCs w:val="24"/>
          <w:lang w:val="hr-HR"/>
        </w:rPr>
        <w:t xml:space="preserve">županijskog proračuna </w:t>
      </w:r>
      <w:r w:rsidR="005A526A" w:rsidRPr="005944E5">
        <w:rPr>
          <w:rFonts w:cs="Times New Roman"/>
          <w:sz w:val="24"/>
          <w:szCs w:val="24"/>
          <w:lang w:val="hr-HR"/>
        </w:rPr>
        <w:t xml:space="preserve">u iznosu od </w:t>
      </w:r>
      <w:r w:rsidR="005944E5" w:rsidRPr="005944E5">
        <w:rPr>
          <w:rFonts w:cs="Times New Roman"/>
          <w:sz w:val="24"/>
          <w:szCs w:val="24"/>
          <w:lang w:val="hr-HR"/>
        </w:rPr>
        <w:t>6.802,33</w:t>
      </w:r>
      <w:r w:rsidR="005A526A" w:rsidRPr="005944E5">
        <w:rPr>
          <w:rFonts w:cs="Times New Roman"/>
          <w:sz w:val="24"/>
          <w:szCs w:val="24"/>
          <w:lang w:val="hr-HR"/>
        </w:rPr>
        <w:t xml:space="preserve"> EUR</w:t>
      </w:r>
      <w:r w:rsidRPr="005944E5">
        <w:rPr>
          <w:rFonts w:cs="Times New Roman"/>
          <w:sz w:val="24"/>
          <w:szCs w:val="24"/>
          <w:lang w:val="hr-HR"/>
        </w:rPr>
        <w:t xml:space="preserve"> odnose </w:t>
      </w:r>
      <w:r w:rsidR="005A526A" w:rsidRPr="005944E5">
        <w:rPr>
          <w:rFonts w:cs="Times New Roman"/>
          <w:sz w:val="24"/>
          <w:szCs w:val="24"/>
          <w:lang w:val="hr-HR"/>
        </w:rPr>
        <w:t xml:space="preserve">se </w:t>
      </w:r>
      <w:r w:rsidRPr="005944E5">
        <w:rPr>
          <w:rFonts w:cs="Times New Roman"/>
          <w:sz w:val="24"/>
          <w:szCs w:val="24"/>
          <w:lang w:val="hr-HR"/>
        </w:rPr>
        <w:t xml:space="preserve">na: </w:t>
      </w:r>
    </w:p>
    <w:p w14:paraId="765CB00D" w14:textId="1F479AEF" w:rsidR="00B80F64" w:rsidRPr="004F2BCF" w:rsidRDefault="004F2BCF">
      <w:pPr>
        <w:pStyle w:val="Bezprored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2BCF">
        <w:rPr>
          <w:rFonts w:ascii="Times New Roman" w:hAnsi="Times New Roman" w:cs="Times New Roman"/>
          <w:sz w:val="24"/>
          <w:szCs w:val="24"/>
        </w:rPr>
        <w:t>965,92</w:t>
      </w:r>
      <w:r w:rsidR="005A526A" w:rsidRPr="004F2BCF">
        <w:rPr>
          <w:rFonts w:ascii="Times New Roman" w:hAnsi="Times New Roman" w:cs="Times New Roman"/>
          <w:sz w:val="24"/>
          <w:szCs w:val="24"/>
        </w:rPr>
        <w:t xml:space="preserve"> EUR</w:t>
      </w:r>
      <w:r w:rsidR="00B80F64" w:rsidRPr="004F2BCF">
        <w:rPr>
          <w:rFonts w:ascii="Times New Roman" w:hAnsi="Times New Roman" w:cs="Times New Roman"/>
          <w:sz w:val="24"/>
          <w:szCs w:val="24"/>
        </w:rPr>
        <w:t xml:space="preserve"> – uplata (povrat) sredstava po kreditnim linijama za poduzetnike,</w:t>
      </w:r>
    </w:p>
    <w:p w14:paraId="20057F67" w14:textId="1692625B" w:rsidR="00B546BA" w:rsidRPr="000879C7" w:rsidRDefault="004F2BCF" w:rsidP="00EE30FB">
      <w:pPr>
        <w:pStyle w:val="Bezprored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2BCF">
        <w:rPr>
          <w:rFonts w:ascii="Times New Roman" w:hAnsi="Times New Roman" w:cs="Times New Roman"/>
          <w:sz w:val="24"/>
          <w:szCs w:val="24"/>
        </w:rPr>
        <w:t>5.836,41</w:t>
      </w:r>
      <w:r w:rsidR="005A526A" w:rsidRPr="004F2BCF">
        <w:rPr>
          <w:rFonts w:ascii="Times New Roman" w:hAnsi="Times New Roman" w:cs="Times New Roman"/>
          <w:sz w:val="24"/>
          <w:szCs w:val="24"/>
        </w:rPr>
        <w:t xml:space="preserve"> EUR</w:t>
      </w:r>
      <w:r w:rsidR="00B80F64" w:rsidRPr="004F2BCF">
        <w:rPr>
          <w:rFonts w:ascii="Times New Roman" w:hAnsi="Times New Roman" w:cs="Times New Roman"/>
          <w:sz w:val="24"/>
          <w:szCs w:val="24"/>
        </w:rPr>
        <w:t xml:space="preserve"> – uplata (povrat) sredstava temeljem aktiviranog jamstva po kreditima </w:t>
      </w:r>
      <w:r w:rsidR="00B80F64" w:rsidRPr="000879C7">
        <w:rPr>
          <w:rFonts w:ascii="Times New Roman" w:hAnsi="Times New Roman" w:cs="Times New Roman"/>
          <w:sz w:val="24"/>
          <w:szCs w:val="24"/>
        </w:rPr>
        <w:t>poduzetnicima (tri kreditne partije),</w:t>
      </w:r>
    </w:p>
    <w:p w14:paraId="47E1B0DF" w14:textId="77777777" w:rsidR="00EE30FB" w:rsidRPr="000879C7" w:rsidRDefault="00EE30FB" w:rsidP="00EE30FB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4CD2512" w14:textId="77777777" w:rsidR="00EE30FB" w:rsidRPr="000879C7" w:rsidRDefault="00EE30FB" w:rsidP="00EE30F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879C7">
        <w:rPr>
          <w:rFonts w:ascii="Times New Roman" w:hAnsi="Times New Roman"/>
          <w:sz w:val="24"/>
          <w:szCs w:val="24"/>
        </w:rPr>
        <w:t>Izdaci županijskog proračuna u iznosu od 4.070.264,45 EUR odnose se na:</w:t>
      </w:r>
    </w:p>
    <w:p w14:paraId="5D13FE5A" w14:textId="77777777" w:rsidR="00EE30FB" w:rsidRPr="000879C7" w:rsidRDefault="00EE30FB" w:rsidP="00EE30FB">
      <w:pPr>
        <w:pStyle w:val="Bezproreda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0879C7">
        <w:rPr>
          <w:rFonts w:ascii="Times New Roman" w:hAnsi="Times New Roman"/>
          <w:sz w:val="24"/>
          <w:szCs w:val="24"/>
        </w:rPr>
        <w:t>84.588,61 EUR – otplata kredita zdravstvenih ustanova (SB Stubičke Toplice)</w:t>
      </w:r>
    </w:p>
    <w:p w14:paraId="6311A23A" w14:textId="77777777" w:rsidR="00EE30FB" w:rsidRPr="000879C7" w:rsidRDefault="00EE30FB" w:rsidP="00EE30FB">
      <w:pPr>
        <w:pStyle w:val="Bezproreda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0879C7">
        <w:rPr>
          <w:rFonts w:ascii="Times New Roman" w:hAnsi="Times New Roman"/>
          <w:sz w:val="24"/>
          <w:szCs w:val="24"/>
        </w:rPr>
        <w:t xml:space="preserve">3.716.265,66 EUR – otplata glavnice po kreditima Županije (PBZ banka) – kratkoročni </w:t>
      </w:r>
    </w:p>
    <w:p w14:paraId="36897B9D" w14:textId="77777777" w:rsidR="00EE30FB" w:rsidRPr="000879C7" w:rsidRDefault="00EE30FB" w:rsidP="00EE30FB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 w:rsidRPr="000879C7">
        <w:rPr>
          <w:rFonts w:ascii="Times New Roman" w:hAnsi="Times New Roman"/>
          <w:sz w:val="24"/>
          <w:szCs w:val="24"/>
        </w:rPr>
        <w:t xml:space="preserve">                                  revolving kredit</w:t>
      </w:r>
    </w:p>
    <w:p w14:paraId="53580921" w14:textId="77777777" w:rsidR="00EE30FB" w:rsidRPr="000879C7" w:rsidRDefault="00EE30FB" w:rsidP="00EE30FB">
      <w:pPr>
        <w:pStyle w:val="Bezproreda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0879C7">
        <w:rPr>
          <w:rFonts w:ascii="Times New Roman" w:hAnsi="Times New Roman"/>
          <w:sz w:val="24"/>
          <w:szCs w:val="24"/>
        </w:rPr>
        <w:t>106.006,02 EUR - otplata glavnice po kreditima Županije (PBZ banka) – dugoročni</w:t>
      </w:r>
    </w:p>
    <w:p w14:paraId="736321AF" w14:textId="77777777" w:rsidR="00EE30FB" w:rsidRPr="000879C7" w:rsidRDefault="00EE30FB" w:rsidP="00EE30FB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 w:rsidRPr="000879C7">
        <w:rPr>
          <w:rFonts w:ascii="Times New Roman" w:hAnsi="Times New Roman"/>
          <w:sz w:val="24"/>
          <w:szCs w:val="24"/>
        </w:rPr>
        <w:t xml:space="preserve">                              kredit</w:t>
      </w:r>
    </w:p>
    <w:p w14:paraId="3D102997" w14:textId="77777777" w:rsidR="00EE30FB" w:rsidRPr="000879C7" w:rsidRDefault="00EE30FB" w:rsidP="00EE30FB">
      <w:pPr>
        <w:pStyle w:val="Bezproreda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0879C7">
        <w:rPr>
          <w:rFonts w:ascii="Times New Roman" w:hAnsi="Times New Roman"/>
          <w:sz w:val="24"/>
          <w:szCs w:val="24"/>
        </w:rPr>
        <w:t>163.404,16 EUR – beskamatni zajam – namirenje (porez na dohodak), beskamatni zajam (odgođena plaćanja-poduzetnici)</w:t>
      </w:r>
    </w:p>
    <w:p w14:paraId="1C682F03" w14:textId="77777777" w:rsidR="00026CCE" w:rsidRPr="00A11264" w:rsidRDefault="00026CCE" w:rsidP="00AB24A8">
      <w:pPr>
        <w:jc w:val="both"/>
        <w:rPr>
          <w:bCs/>
          <w:color w:val="FF0000"/>
          <w:sz w:val="24"/>
          <w:szCs w:val="24"/>
          <w:lang w:val="hr-HR"/>
        </w:rPr>
      </w:pPr>
    </w:p>
    <w:sectPr w:rsidR="00026CCE" w:rsidRPr="00A11264" w:rsidSect="00AB24A8">
      <w:headerReference w:type="default" r:id="rId1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D4F85" w14:textId="77777777" w:rsidR="00710BBA" w:rsidRDefault="00710BBA" w:rsidP="0023114A">
      <w:r>
        <w:separator/>
      </w:r>
    </w:p>
  </w:endnote>
  <w:endnote w:type="continuationSeparator" w:id="0">
    <w:p w14:paraId="3A5D1564" w14:textId="77777777" w:rsidR="00710BBA" w:rsidRDefault="00710BBA" w:rsidP="0023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B1617" w14:textId="77777777" w:rsidR="00710BBA" w:rsidRDefault="00710BBA" w:rsidP="0023114A">
      <w:r>
        <w:separator/>
      </w:r>
    </w:p>
  </w:footnote>
  <w:footnote w:type="continuationSeparator" w:id="0">
    <w:p w14:paraId="43FC3A0E" w14:textId="77777777" w:rsidR="00710BBA" w:rsidRDefault="00710BBA" w:rsidP="0023114A">
      <w:r>
        <w:continuationSeparator/>
      </w:r>
    </w:p>
  </w:footnote>
  <w:footnote w:id="1">
    <w:p w14:paraId="4CF57C9B" w14:textId="09E151F1" w:rsidR="00F13B9F" w:rsidRPr="00F13B9F" w:rsidRDefault="00F13B9F" w:rsidP="005E40FA">
      <w:pPr>
        <w:pStyle w:val="Tekstfusnote"/>
        <w:jc w:val="both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>Proračunski korisnici Krapinsko-zagorske županije: osnovne i srednje škole, zdravstvene ustanove, učenički domovi, Javna ustanova Zagorje Zeleno, Zavod za prostorno uređenje, Zagorska razvojna agencija, Javna ustanova NOVI POČETAK</w:t>
      </w:r>
    </w:p>
  </w:footnote>
  <w:footnote w:id="2">
    <w:p w14:paraId="5DFBA22D" w14:textId="4A17120A" w:rsidR="00CF169A" w:rsidRPr="00F13B9F" w:rsidRDefault="00CF169A" w:rsidP="00CF169A">
      <w:pPr>
        <w:pStyle w:val="Tekstfusnote"/>
        <w:jc w:val="both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Proračunski korisnici Krapinsko-zagorske županije: osnovne i srednje škole, zdravstvene ustanove, učenički domovi, zdravstvene ustanove, Javna ustanova </w:t>
      </w:r>
      <w:r w:rsidR="008B39CF">
        <w:rPr>
          <w:lang w:val="hr-HR"/>
        </w:rPr>
        <w:t>„</w:t>
      </w:r>
      <w:r>
        <w:rPr>
          <w:lang w:val="hr-HR"/>
        </w:rPr>
        <w:t>Zagorje Zeleno</w:t>
      </w:r>
      <w:r w:rsidR="008B39CF">
        <w:rPr>
          <w:lang w:val="hr-HR"/>
        </w:rPr>
        <w:t>“</w:t>
      </w:r>
      <w:r>
        <w:rPr>
          <w:lang w:val="hr-HR"/>
        </w:rPr>
        <w:t>, Zavod za prostorno uređenje, Zagorska razvojna agencija, Javna ustanova NOVI POČETAK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45BB7" w14:textId="77777777" w:rsidR="00B80F64" w:rsidRDefault="00B80F64" w:rsidP="001E6DDA">
    <w:pPr>
      <w:pStyle w:val="Zaglavlje"/>
    </w:pPr>
  </w:p>
  <w:p w14:paraId="0FCF3A33" w14:textId="77777777" w:rsidR="00B80F64" w:rsidRPr="001E6DDA" w:rsidRDefault="00B80F64" w:rsidP="001E6DDA">
    <w:pPr>
      <w:pStyle w:val="Zaglavlj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1B81AB6"/>
    <w:multiLevelType w:val="hybridMultilevel"/>
    <w:tmpl w:val="9704E366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1EE3CF8"/>
    <w:multiLevelType w:val="hybridMultilevel"/>
    <w:tmpl w:val="22884292"/>
    <w:lvl w:ilvl="0" w:tplc="463AB68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6266BF"/>
    <w:multiLevelType w:val="hybridMultilevel"/>
    <w:tmpl w:val="0352CCAE"/>
    <w:lvl w:ilvl="0" w:tplc="E0548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08641A"/>
    <w:multiLevelType w:val="hybridMultilevel"/>
    <w:tmpl w:val="03BA3008"/>
    <w:lvl w:ilvl="0" w:tplc="FFFFFFF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4675A"/>
    <w:multiLevelType w:val="hybridMultilevel"/>
    <w:tmpl w:val="03BA3008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411D3"/>
    <w:multiLevelType w:val="hybridMultilevel"/>
    <w:tmpl w:val="E944901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5F589F"/>
    <w:multiLevelType w:val="hybridMultilevel"/>
    <w:tmpl w:val="126031D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D2DA9"/>
    <w:multiLevelType w:val="hybridMultilevel"/>
    <w:tmpl w:val="52F29684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291A63"/>
    <w:multiLevelType w:val="hybridMultilevel"/>
    <w:tmpl w:val="F2C0512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653C8"/>
    <w:multiLevelType w:val="hybridMultilevel"/>
    <w:tmpl w:val="7F183360"/>
    <w:lvl w:ilvl="0" w:tplc="6B90F31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4E43FC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6DD01E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382356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72677F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C204C0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5BAEBF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A0C302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9490EB2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684BD0"/>
    <w:multiLevelType w:val="hybridMultilevel"/>
    <w:tmpl w:val="2DD6D24C"/>
    <w:lvl w:ilvl="0" w:tplc="ACEECC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030847"/>
    <w:multiLevelType w:val="hybridMultilevel"/>
    <w:tmpl w:val="F5683F8C"/>
    <w:lvl w:ilvl="0" w:tplc="9E94430E">
      <w:start w:val="1"/>
      <w:numFmt w:val="bullet"/>
      <w:lvlText w:val="-"/>
      <w:lvlJc w:val="left"/>
      <w:pPr>
        <w:ind w:left="95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2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10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17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24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31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38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46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5330" w:hanging="360"/>
      </w:pPr>
      <w:rPr>
        <w:rFonts w:ascii="Wingdings" w:hAnsi="Wingdings" w:hint="default"/>
      </w:rPr>
    </w:lvl>
  </w:abstractNum>
  <w:abstractNum w:abstractNumId="17" w15:restartNumberingAfterBreak="0">
    <w:nsid w:val="20447FEA"/>
    <w:multiLevelType w:val="hybridMultilevel"/>
    <w:tmpl w:val="B058D53A"/>
    <w:lvl w:ilvl="0" w:tplc="E7F68A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5E87D2"/>
    <w:multiLevelType w:val="hybridMultilevel"/>
    <w:tmpl w:val="8EE0D096"/>
    <w:lvl w:ilvl="0" w:tplc="84BE17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59A36C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7A9AD47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84C0BC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5C14D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A1CA3D1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7A113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28F44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FD38127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086E7D"/>
    <w:multiLevelType w:val="hybridMultilevel"/>
    <w:tmpl w:val="FE40A08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6F6DE1"/>
    <w:multiLevelType w:val="hybridMultilevel"/>
    <w:tmpl w:val="F6A2360E"/>
    <w:lvl w:ilvl="0" w:tplc="BF8E5B68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29A55A9C"/>
    <w:multiLevelType w:val="hybridMultilevel"/>
    <w:tmpl w:val="E7E4B53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37333E"/>
    <w:multiLevelType w:val="hybridMultilevel"/>
    <w:tmpl w:val="0B24B360"/>
    <w:lvl w:ilvl="0" w:tplc="812C09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D7B11F0"/>
    <w:multiLevelType w:val="hybridMultilevel"/>
    <w:tmpl w:val="64B4D432"/>
    <w:lvl w:ilvl="0" w:tplc="091CF12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0F4E06"/>
    <w:multiLevelType w:val="hybridMultilevel"/>
    <w:tmpl w:val="279631B0"/>
    <w:lvl w:ilvl="0" w:tplc="606EF0E8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9E4AF06C">
      <w:start w:val="1"/>
      <w:numFmt w:val="bullet"/>
      <w:lvlText w:val=""/>
      <w:lvlJc w:val="left"/>
      <w:pPr>
        <w:tabs>
          <w:tab w:val="num" w:pos="1581"/>
        </w:tabs>
        <w:ind w:left="1581" w:hanging="501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E609AD"/>
    <w:multiLevelType w:val="hybridMultilevel"/>
    <w:tmpl w:val="D3B8CC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A64B80"/>
    <w:multiLevelType w:val="hybridMultilevel"/>
    <w:tmpl w:val="750CF15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C53636"/>
    <w:multiLevelType w:val="hybridMultilevel"/>
    <w:tmpl w:val="DFBEF7F0"/>
    <w:lvl w:ilvl="0" w:tplc="919CB8B0">
      <w:numFmt w:val="bullet"/>
      <w:lvlText w:val="-"/>
      <w:lvlJc w:val="left"/>
      <w:pPr>
        <w:ind w:left="7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28" w15:restartNumberingAfterBreak="0">
    <w:nsid w:val="3872AB7A"/>
    <w:multiLevelType w:val="hybridMultilevel"/>
    <w:tmpl w:val="F2DA30C6"/>
    <w:lvl w:ilvl="0" w:tplc="A9A0CA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6896BE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29A6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2678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463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A7CED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90B3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A08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A2CF5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85620F"/>
    <w:multiLevelType w:val="hybridMultilevel"/>
    <w:tmpl w:val="C8E45E00"/>
    <w:lvl w:ilvl="0" w:tplc="E026D3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5F3EE6"/>
    <w:multiLevelType w:val="hybridMultilevel"/>
    <w:tmpl w:val="B7469986"/>
    <w:lvl w:ilvl="0" w:tplc="787CA5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912C45"/>
    <w:multiLevelType w:val="hybridMultilevel"/>
    <w:tmpl w:val="03FE9D54"/>
    <w:lvl w:ilvl="0" w:tplc="22D83B82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5A7E26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FDC2F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27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8A6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28E4A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40A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CC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3D0E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165F9E"/>
    <w:multiLevelType w:val="hybridMultilevel"/>
    <w:tmpl w:val="DB3AE9A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B7C24A9"/>
    <w:multiLevelType w:val="hybridMultilevel"/>
    <w:tmpl w:val="BB485634"/>
    <w:lvl w:ilvl="0" w:tplc="C6A06DC0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37F777"/>
    <w:multiLevelType w:val="hybridMultilevel"/>
    <w:tmpl w:val="788ADCF6"/>
    <w:lvl w:ilvl="0" w:tplc="50FAF504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2A1CF3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F220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443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F88F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EA8457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54C2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4C37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C7633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C631E"/>
    <w:multiLevelType w:val="hybridMultilevel"/>
    <w:tmpl w:val="41803C46"/>
    <w:lvl w:ilvl="0" w:tplc="B4AA78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546C59"/>
    <w:multiLevelType w:val="hybridMultilevel"/>
    <w:tmpl w:val="553672B2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854688"/>
    <w:multiLevelType w:val="hybridMultilevel"/>
    <w:tmpl w:val="664601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246861"/>
    <w:multiLevelType w:val="hybridMultilevel"/>
    <w:tmpl w:val="22A432EE"/>
    <w:lvl w:ilvl="0" w:tplc="00000003">
      <w:start w:val="1"/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CAF6414"/>
    <w:multiLevelType w:val="hybridMultilevel"/>
    <w:tmpl w:val="D068AE2C"/>
    <w:lvl w:ilvl="0" w:tplc="2D2424FA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0" w15:restartNumberingAfterBreak="0">
    <w:nsid w:val="630C7FD9"/>
    <w:multiLevelType w:val="hybridMultilevel"/>
    <w:tmpl w:val="D858256C"/>
    <w:lvl w:ilvl="0" w:tplc="E3B2AF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8A3E0D"/>
    <w:multiLevelType w:val="hybridMultilevel"/>
    <w:tmpl w:val="9E7803FA"/>
    <w:lvl w:ilvl="0" w:tplc="D41CBF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E77A1F"/>
    <w:multiLevelType w:val="hybridMultilevel"/>
    <w:tmpl w:val="27E01718"/>
    <w:lvl w:ilvl="0" w:tplc="76C4DE12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586F5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F68A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C70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837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5E08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8D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102E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3A85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A02FBA"/>
    <w:multiLevelType w:val="hybridMultilevel"/>
    <w:tmpl w:val="7E7CEE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B66EDC"/>
    <w:multiLevelType w:val="hybridMultilevel"/>
    <w:tmpl w:val="60B466A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C051CF"/>
    <w:multiLevelType w:val="hybridMultilevel"/>
    <w:tmpl w:val="D6DC5E14"/>
    <w:lvl w:ilvl="0" w:tplc="1FAA35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047E7A"/>
    <w:multiLevelType w:val="hybridMultilevel"/>
    <w:tmpl w:val="B50285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8F6599"/>
    <w:multiLevelType w:val="hybridMultilevel"/>
    <w:tmpl w:val="2250D7AE"/>
    <w:lvl w:ilvl="0" w:tplc="E35A8C6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098865179">
    <w:abstractNumId w:val="4"/>
  </w:num>
  <w:num w:numId="2" w16cid:durableId="166480462">
    <w:abstractNumId w:val="12"/>
  </w:num>
  <w:num w:numId="3" w16cid:durableId="1978294">
    <w:abstractNumId w:val="21"/>
  </w:num>
  <w:num w:numId="4" w16cid:durableId="1773043107">
    <w:abstractNumId w:val="20"/>
  </w:num>
  <w:num w:numId="5" w16cid:durableId="246234539">
    <w:abstractNumId w:val="41"/>
  </w:num>
  <w:num w:numId="6" w16cid:durableId="512183233">
    <w:abstractNumId w:val="30"/>
  </w:num>
  <w:num w:numId="7" w16cid:durableId="801770082">
    <w:abstractNumId w:val="32"/>
  </w:num>
  <w:num w:numId="8" w16cid:durableId="817574190">
    <w:abstractNumId w:val="40"/>
  </w:num>
  <w:num w:numId="9" w16cid:durableId="287273690">
    <w:abstractNumId w:val="37"/>
  </w:num>
  <w:num w:numId="10" w16cid:durableId="1997955910">
    <w:abstractNumId w:val="17"/>
  </w:num>
  <w:num w:numId="11" w16cid:durableId="2112705298">
    <w:abstractNumId w:val="15"/>
  </w:num>
  <w:num w:numId="12" w16cid:durableId="4947015">
    <w:abstractNumId w:val="47"/>
  </w:num>
  <w:num w:numId="13" w16cid:durableId="1386174096">
    <w:abstractNumId w:val="45"/>
  </w:num>
  <w:num w:numId="14" w16cid:durableId="593517417">
    <w:abstractNumId w:val="29"/>
  </w:num>
  <w:num w:numId="15" w16cid:durableId="685984540">
    <w:abstractNumId w:val="35"/>
  </w:num>
  <w:num w:numId="16" w16cid:durableId="267129222">
    <w:abstractNumId w:val="26"/>
  </w:num>
  <w:num w:numId="17" w16cid:durableId="1692952056">
    <w:abstractNumId w:val="19"/>
  </w:num>
  <w:num w:numId="18" w16cid:durableId="1819152906">
    <w:abstractNumId w:val="10"/>
  </w:num>
  <w:num w:numId="19" w16cid:durableId="2007587521">
    <w:abstractNumId w:val="6"/>
  </w:num>
  <w:num w:numId="20" w16cid:durableId="521481762">
    <w:abstractNumId w:val="39"/>
  </w:num>
  <w:num w:numId="21" w16cid:durableId="730230509">
    <w:abstractNumId w:val="23"/>
  </w:num>
  <w:num w:numId="22" w16cid:durableId="2099596425">
    <w:abstractNumId w:val="24"/>
  </w:num>
  <w:num w:numId="23" w16cid:durableId="1117530935">
    <w:abstractNumId w:val="46"/>
  </w:num>
  <w:num w:numId="24" w16cid:durableId="618222912">
    <w:abstractNumId w:val="44"/>
  </w:num>
  <w:num w:numId="25" w16cid:durableId="118227084">
    <w:abstractNumId w:val="11"/>
  </w:num>
  <w:num w:numId="26" w16cid:durableId="505677088">
    <w:abstractNumId w:val="38"/>
  </w:num>
  <w:num w:numId="27" w16cid:durableId="1563523086">
    <w:abstractNumId w:val="5"/>
  </w:num>
  <w:num w:numId="28" w16cid:durableId="365373376">
    <w:abstractNumId w:val="13"/>
  </w:num>
  <w:num w:numId="29" w16cid:durableId="1662779403">
    <w:abstractNumId w:val="16"/>
  </w:num>
  <w:num w:numId="30" w16cid:durableId="336156739">
    <w:abstractNumId w:val="18"/>
  </w:num>
  <w:num w:numId="31" w16cid:durableId="1543206290">
    <w:abstractNumId w:val="42"/>
  </w:num>
  <w:num w:numId="32" w16cid:durableId="1177158169">
    <w:abstractNumId w:val="31"/>
  </w:num>
  <w:num w:numId="33" w16cid:durableId="407728750">
    <w:abstractNumId w:val="34"/>
  </w:num>
  <w:num w:numId="34" w16cid:durableId="1231769324">
    <w:abstractNumId w:val="28"/>
  </w:num>
  <w:num w:numId="35" w16cid:durableId="2032409221">
    <w:abstractNumId w:val="14"/>
  </w:num>
  <w:num w:numId="36" w16cid:durableId="1447234387">
    <w:abstractNumId w:val="36"/>
  </w:num>
  <w:num w:numId="37" w16cid:durableId="1934312715">
    <w:abstractNumId w:val="9"/>
  </w:num>
  <w:num w:numId="38" w16cid:durableId="1383211104">
    <w:abstractNumId w:val="27"/>
  </w:num>
  <w:num w:numId="39" w16cid:durableId="1379744981">
    <w:abstractNumId w:val="22"/>
  </w:num>
  <w:num w:numId="40" w16cid:durableId="189220964">
    <w:abstractNumId w:val="43"/>
  </w:num>
  <w:num w:numId="41" w16cid:durableId="270358418">
    <w:abstractNumId w:val="25"/>
  </w:num>
  <w:num w:numId="42" w16cid:durableId="1259097719">
    <w:abstractNumId w:val="7"/>
  </w:num>
  <w:num w:numId="43" w16cid:durableId="7981118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85235962">
    <w:abstractNumId w:val="8"/>
  </w:num>
  <w:num w:numId="45" w16cid:durableId="64618883">
    <w:abstractNumId w:val="20"/>
  </w:num>
  <w:num w:numId="46" w16cid:durableId="555242300">
    <w:abstractNumId w:val="1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C8"/>
    <w:rsid w:val="000017C9"/>
    <w:rsid w:val="00002466"/>
    <w:rsid w:val="0000346C"/>
    <w:rsid w:val="00003B3E"/>
    <w:rsid w:val="000041E6"/>
    <w:rsid w:val="00004A85"/>
    <w:rsid w:val="00006E4D"/>
    <w:rsid w:val="00007A1C"/>
    <w:rsid w:val="00007D00"/>
    <w:rsid w:val="0001030A"/>
    <w:rsid w:val="000113DC"/>
    <w:rsid w:val="000126A8"/>
    <w:rsid w:val="000129AB"/>
    <w:rsid w:val="00012A40"/>
    <w:rsid w:val="00014B95"/>
    <w:rsid w:val="000159DF"/>
    <w:rsid w:val="00015B9A"/>
    <w:rsid w:val="00015C75"/>
    <w:rsid w:val="000173AC"/>
    <w:rsid w:val="00020520"/>
    <w:rsid w:val="00020A1A"/>
    <w:rsid w:val="00020B97"/>
    <w:rsid w:val="00020D9E"/>
    <w:rsid w:val="0002261B"/>
    <w:rsid w:val="0002300B"/>
    <w:rsid w:val="00025845"/>
    <w:rsid w:val="000263CE"/>
    <w:rsid w:val="00026AE0"/>
    <w:rsid w:val="00026CCE"/>
    <w:rsid w:val="00030D63"/>
    <w:rsid w:val="00030E9B"/>
    <w:rsid w:val="00031AE7"/>
    <w:rsid w:val="00032448"/>
    <w:rsid w:val="000324AB"/>
    <w:rsid w:val="00032AF2"/>
    <w:rsid w:val="00032CE5"/>
    <w:rsid w:val="00033C80"/>
    <w:rsid w:val="00034536"/>
    <w:rsid w:val="00034F75"/>
    <w:rsid w:val="00034FCF"/>
    <w:rsid w:val="00035055"/>
    <w:rsid w:val="00035885"/>
    <w:rsid w:val="00036099"/>
    <w:rsid w:val="000360D5"/>
    <w:rsid w:val="00036BBF"/>
    <w:rsid w:val="00037293"/>
    <w:rsid w:val="0003758E"/>
    <w:rsid w:val="00040D44"/>
    <w:rsid w:val="000410F5"/>
    <w:rsid w:val="00042CD3"/>
    <w:rsid w:val="00043BA5"/>
    <w:rsid w:val="00043ED2"/>
    <w:rsid w:val="00043FC2"/>
    <w:rsid w:val="0004448B"/>
    <w:rsid w:val="00045CF4"/>
    <w:rsid w:val="00046EB8"/>
    <w:rsid w:val="00047851"/>
    <w:rsid w:val="0005006A"/>
    <w:rsid w:val="00050BBF"/>
    <w:rsid w:val="00051DD6"/>
    <w:rsid w:val="000529F6"/>
    <w:rsid w:val="0005331C"/>
    <w:rsid w:val="000533AA"/>
    <w:rsid w:val="00053D77"/>
    <w:rsid w:val="0005503F"/>
    <w:rsid w:val="000561EC"/>
    <w:rsid w:val="000565FB"/>
    <w:rsid w:val="00056FBC"/>
    <w:rsid w:val="000576AB"/>
    <w:rsid w:val="000600DA"/>
    <w:rsid w:val="00060DEB"/>
    <w:rsid w:val="00061F9E"/>
    <w:rsid w:val="00064232"/>
    <w:rsid w:val="00065165"/>
    <w:rsid w:val="00067305"/>
    <w:rsid w:val="00071961"/>
    <w:rsid w:val="00071C93"/>
    <w:rsid w:val="000724C2"/>
    <w:rsid w:val="000737EF"/>
    <w:rsid w:val="00073955"/>
    <w:rsid w:val="00073E2F"/>
    <w:rsid w:val="00074AFF"/>
    <w:rsid w:val="00074FE6"/>
    <w:rsid w:val="00075322"/>
    <w:rsid w:val="00075C5C"/>
    <w:rsid w:val="00076026"/>
    <w:rsid w:val="00076339"/>
    <w:rsid w:val="00077197"/>
    <w:rsid w:val="00080AB7"/>
    <w:rsid w:val="00080CAE"/>
    <w:rsid w:val="00081472"/>
    <w:rsid w:val="00081B8A"/>
    <w:rsid w:val="00081BAB"/>
    <w:rsid w:val="00081BD9"/>
    <w:rsid w:val="000821A1"/>
    <w:rsid w:val="0008254E"/>
    <w:rsid w:val="0008346B"/>
    <w:rsid w:val="00084565"/>
    <w:rsid w:val="000845C4"/>
    <w:rsid w:val="0008493B"/>
    <w:rsid w:val="0008623F"/>
    <w:rsid w:val="00086682"/>
    <w:rsid w:val="00086B36"/>
    <w:rsid w:val="00086E23"/>
    <w:rsid w:val="0008730B"/>
    <w:rsid w:val="000879C7"/>
    <w:rsid w:val="00087CCF"/>
    <w:rsid w:val="00090BD3"/>
    <w:rsid w:val="00092756"/>
    <w:rsid w:val="0009282C"/>
    <w:rsid w:val="00092DE8"/>
    <w:rsid w:val="000A20AC"/>
    <w:rsid w:val="000A3837"/>
    <w:rsid w:val="000A4651"/>
    <w:rsid w:val="000A489B"/>
    <w:rsid w:val="000A4D5B"/>
    <w:rsid w:val="000A5244"/>
    <w:rsid w:val="000A6466"/>
    <w:rsid w:val="000A66DD"/>
    <w:rsid w:val="000B0BB6"/>
    <w:rsid w:val="000B1B7B"/>
    <w:rsid w:val="000B3BB3"/>
    <w:rsid w:val="000B41F1"/>
    <w:rsid w:val="000B6669"/>
    <w:rsid w:val="000B74CB"/>
    <w:rsid w:val="000B7EE8"/>
    <w:rsid w:val="000C18B5"/>
    <w:rsid w:val="000C3BE8"/>
    <w:rsid w:val="000C3D7C"/>
    <w:rsid w:val="000C40CB"/>
    <w:rsid w:val="000C4586"/>
    <w:rsid w:val="000C4BC5"/>
    <w:rsid w:val="000C60F7"/>
    <w:rsid w:val="000C7E20"/>
    <w:rsid w:val="000D17E4"/>
    <w:rsid w:val="000D245C"/>
    <w:rsid w:val="000D25AA"/>
    <w:rsid w:val="000D2C0C"/>
    <w:rsid w:val="000D3196"/>
    <w:rsid w:val="000D6022"/>
    <w:rsid w:val="000D6181"/>
    <w:rsid w:val="000D6199"/>
    <w:rsid w:val="000D64A0"/>
    <w:rsid w:val="000D6AE0"/>
    <w:rsid w:val="000D6F7C"/>
    <w:rsid w:val="000D7469"/>
    <w:rsid w:val="000D7731"/>
    <w:rsid w:val="000D77C6"/>
    <w:rsid w:val="000E092F"/>
    <w:rsid w:val="000E0ED2"/>
    <w:rsid w:val="000E10E0"/>
    <w:rsid w:val="000E29C6"/>
    <w:rsid w:val="000E2D73"/>
    <w:rsid w:val="000E40D9"/>
    <w:rsid w:val="000E657F"/>
    <w:rsid w:val="000E6A6E"/>
    <w:rsid w:val="000E6E64"/>
    <w:rsid w:val="000E71B9"/>
    <w:rsid w:val="000F106A"/>
    <w:rsid w:val="000F110A"/>
    <w:rsid w:val="000F11C2"/>
    <w:rsid w:val="000F35C4"/>
    <w:rsid w:val="000F4CE7"/>
    <w:rsid w:val="000F58B9"/>
    <w:rsid w:val="000F62CE"/>
    <w:rsid w:val="000F701C"/>
    <w:rsid w:val="00100227"/>
    <w:rsid w:val="001007B8"/>
    <w:rsid w:val="00101516"/>
    <w:rsid w:val="00101A7F"/>
    <w:rsid w:val="0010223A"/>
    <w:rsid w:val="0010291E"/>
    <w:rsid w:val="00105688"/>
    <w:rsid w:val="00105F92"/>
    <w:rsid w:val="001070DB"/>
    <w:rsid w:val="00107431"/>
    <w:rsid w:val="00111D9A"/>
    <w:rsid w:val="001124F6"/>
    <w:rsid w:val="00112ADF"/>
    <w:rsid w:val="0011401B"/>
    <w:rsid w:val="00114B1B"/>
    <w:rsid w:val="00115884"/>
    <w:rsid w:val="001167A6"/>
    <w:rsid w:val="00116AB4"/>
    <w:rsid w:val="0012033F"/>
    <w:rsid w:val="00121E52"/>
    <w:rsid w:val="00122991"/>
    <w:rsid w:val="00123889"/>
    <w:rsid w:val="00123B41"/>
    <w:rsid w:val="0012416B"/>
    <w:rsid w:val="001242B3"/>
    <w:rsid w:val="00124390"/>
    <w:rsid w:val="00124DD6"/>
    <w:rsid w:val="00125583"/>
    <w:rsid w:val="00125859"/>
    <w:rsid w:val="00125ED9"/>
    <w:rsid w:val="00126533"/>
    <w:rsid w:val="00126CDD"/>
    <w:rsid w:val="00130B4B"/>
    <w:rsid w:val="00130FF0"/>
    <w:rsid w:val="00131917"/>
    <w:rsid w:val="00131A87"/>
    <w:rsid w:val="00131C08"/>
    <w:rsid w:val="001334E7"/>
    <w:rsid w:val="001345DE"/>
    <w:rsid w:val="001349B9"/>
    <w:rsid w:val="00136304"/>
    <w:rsid w:val="001363C9"/>
    <w:rsid w:val="001372A6"/>
    <w:rsid w:val="00137554"/>
    <w:rsid w:val="00137EE6"/>
    <w:rsid w:val="0014042F"/>
    <w:rsid w:val="00141025"/>
    <w:rsid w:val="00142052"/>
    <w:rsid w:val="00142683"/>
    <w:rsid w:val="00142817"/>
    <w:rsid w:val="00142C88"/>
    <w:rsid w:val="00143B39"/>
    <w:rsid w:val="00144947"/>
    <w:rsid w:val="00145389"/>
    <w:rsid w:val="001459E2"/>
    <w:rsid w:val="00146B29"/>
    <w:rsid w:val="00150306"/>
    <w:rsid w:val="0015036A"/>
    <w:rsid w:val="001504CC"/>
    <w:rsid w:val="001516AB"/>
    <w:rsid w:val="00153214"/>
    <w:rsid w:val="00154C28"/>
    <w:rsid w:val="00154C83"/>
    <w:rsid w:val="00154DB6"/>
    <w:rsid w:val="001563AA"/>
    <w:rsid w:val="00157ADC"/>
    <w:rsid w:val="001616A5"/>
    <w:rsid w:val="00162476"/>
    <w:rsid w:val="00162788"/>
    <w:rsid w:val="00163AB0"/>
    <w:rsid w:val="0016454F"/>
    <w:rsid w:val="00164821"/>
    <w:rsid w:val="00165AC8"/>
    <w:rsid w:val="00167179"/>
    <w:rsid w:val="0016756A"/>
    <w:rsid w:val="00167AA8"/>
    <w:rsid w:val="00170213"/>
    <w:rsid w:val="00173C64"/>
    <w:rsid w:val="00175B06"/>
    <w:rsid w:val="00177B98"/>
    <w:rsid w:val="0018062E"/>
    <w:rsid w:val="001811CB"/>
    <w:rsid w:val="00181B43"/>
    <w:rsid w:val="00182403"/>
    <w:rsid w:val="001827B7"/>
    <w:rsid w:val="00183229"/>
    <w:rsid w:val="00184A7D"/>
    <w:rsid w:val="001855E3"/>
    <w:rsid w:val="00187849"/>
    <w:rsid w:val="0019079C"/>
    <w:rsid w:val="00190EBC"/>
    <w:rsid w:val="00193519"/>
    <w:rsid w:val="001950C1"/>
    <w:rsid w:val="0019557E"/>
    <w:rsid w:val="00196C89"/>
    <w:rsid w:val="00196E48"/>
    <w:rsid w:val="001A02CB"/>
    <w:rsid w:val="001A07BF"/>
    <w:rsid w:val="001A0AE7"/>
    <w:rsid w:val="001A149D"/>
    <w:rsid w:val="001A28E2"/>
    <w:rsid w:val="001A5CD7"/>
    <w:rsid w:val="001A7C9E"/>
    <w:rsid w:val="001B02BC"/>
    <w:rsid w:val="001B03D8"/>
    <w:rsid w:val="001B0E0A"/>
    <w:rsid w:val="001B266F"/>
    <w:rsid w:val="001B4023"/>
    <w:rsid w:val="001B41F0"/>
    <w:rsid w:val="001B60A4"/>
    <w:rsid w:val="001B6F0D"/>
    <w:rsid w:val="001C1C4D"/>
    <w:rsid w:val="001C2D91"/>
    <w:rsid w:val="001C2EA7"/>
    <w:rsid w:val="001C31BB"/>
    <w:rsid w:val="001C45F6"/>
    <w:rsid w:val="001C5C8C"/>
    <w:rsid w:val="001C79C3"/>
    <w:rsid w:val="001C7DD5"/>
    <w:rsid w:val="001C7E5E"/>
    <w:rsid w:val="001D0086"/>
    <w:rsid w:val="001D008F"/>
    <w:rsid w:val="001D025C"/>
    <w:rsid w:val="001D212A"/>
    <w:rsid w:val="001D2B32"/>
    <w:rsid w:val="001D433B"/>
    <w:rsid w:val="001E02C8"/>
    <w:rsid w:val="001E1C5B"/>
    <w:rsid w:val="001E1DEB"/>
    <w:rsid w:val="001E26A6"/>
    <w:rsid w:val="001E2ADD"/>
    <w:rsid w:val="001E2E85"/>
    <w:rsid w:val="001E3195"/>
    <w:rsid w:val="001E35CF"/>
    <w:rsid w:val="001E4034"/>
    <w:rsid w:val="001E40EB"/>
    <w:rsid w:val="001E445B"/>
    <w:rsid w:val="001E4EA2"/>
    <w:rsid w:val="001E4FAC"/>
    <w:rsid w:val="001E5316"/>
    <w:rsid w:val="001E5B87"/>
    <w:rsid w:val="001E6357"/>
    <w:rsid w:val="001E66D7"/>
    <w:rsid w:val="001E6DDA"/>
    <w:rsid w:val="001E7AE6"/>
    <w:rsid w:val="001F22F6"/>
    <w:rsid w:val="001F2472"/>
    <w:rsid w:val="001F4C8A"/>
    <w:rsid w:val="001F524E"/>
    <w:rsid w:val="001F7DA5"/>
    <w:rsid w:val="00201DC8"/>
    <w:rsid w:val="002020A4"/>
    <w:rsid w:val="002047C5"/>
    <w:rsid w:val="002056CE"/>
    <w:rsid w:val="00207CE8"/>
    <w:rsid w:val="00207FFB"/>
    <w:rsid w:val="00210585"/>
    <w:rsid w:val="00211575"/>
    <w:rsid w:val="00211751"/>
    <w:rsid w:val="00211C10"/>
    <w:rsid w:val="0021219B"/>
    <w:rsid w:val="0021229C"/>
    <w:rsid w:val="002124A8"/>
    <w:rsid w:val="00212604"/>
    <w:rsid w:val="00213292"/>
    <w:rsid w:val="00213824"/>
    <w:rsid w:val="002155B8"/>
    <w:rsid w:val="00215D4C"/>
    <w:rsid w:val="002167FF"/>
    <w:rsid w:val="0021743A"/>
    <w:rsid w:val="0022071F"/>
    <w:rsid w:val="00220DAF"/>
    <w:rsid w:val="00220EB7"/>
    <w:rsid w:val="00221BC4"/>
    <w:rsid w:val="002257A4"/>
    <w:rsid w:val="00226683"/>
    <w:rsid w:val="00226D6E"/>
    <w:rsid w:val="00226ED4"/>
    <w:rsid w:val="00227ACC"/>
    <w:rsid w:val="00230291"/>
    <w:rsid w:val="0023114A"/>
    <w:rsid w:val="00231B45"/>
    <w:rsid w:val="00231D88"/>
    <w:rsid w:val="00231EEE"/>
    <w:rsid w:val="00232228"/>
    <w:rsid w:val="00232731"/>
    <w:rsid w:val="00233128"/>
    <w:rsid w:val="002334C6"/>
    <w:rsid w:val="002338D0"/>
    <w:rsid w:val="00233908"/>
    <w:rsid w:val="002341C2"/>
    <w:rsid w:val="002364CD"/>
    <w:rsid w:val="0023675D"/>
    <w:rsid w:val="00237463"/>
    <w:rsid w:val="00237CC7"/>
    <w:rsid w:val="00237EBF"/>
    <w:rsid w:val="0024027F"/>
    <w:rsid w:val="00240A0F"/>
    <w:rsid w:val="00240FC4"/>
    <w:rsid w:val="002413E0"/>
    <w:rsid w:val="00241F35"/>
    <w:rsid w:val="002431B4"/>
    <w:rsid w:val="002432C4"/>
    <w:rsid w:val="00243F19"/>
    <w:rsid w:val="00245552"/>
    <w:rsid w:val="002456C4"/>
    <w:rsid w:val="002459F0"/>
    <w:rsid w:val="002462B7"/>
    <w:rsid w:val="0024785A"/>
    <w:rsid w:val="002530DD"/>
    <w:rsid w:val="00253312"/>
    <w:rsid w:val="00253B38"/>
    <w:rsid w:val="00254389"/>
    <w:rsid w:val="0025491A"/>
    <w:rsid w:val="002552FE"/>
    <w:rsid w:val="0025651A"/>
    <w:rsid w:val="002608C5"/>
    <w:rsid w:val="00261DBB"/>
    <w:rsid w:val="002622A9"/>
    <w:rsid w:val="00262AA4"/>
    <w:rsid w:val="002638B7"/>
    <w:rsid w:val="00264317"/>
    <w:rsid w:val="0026465E"/>
    <w:rsid w:val="00265C75"/>
    <w:rsid w:val="00265C94"/>
    <w:rsid w:val="0026682C"/>
    <w:rsid w:val="00267ED6"/>
    <w:rsid w:val="00271838"/>
    <w:rsid w:val="00272E1D"/>
    <w:rsid w:val="0027328F"/>
    <w:rsid w:val="00273812"/>
    <w:rsid w:val="0027490A"/>
    <w:rsid w:val="00274FDA"/>
    <w:rsid w:val="002756E2"/>
    <w:rsid w:val="00276E99"/>
    <w:rsid w:val="00277F39"/>
    <w:rsid w:val="00277FBB"/>
    <w:rsid w:val="0028066A"/>
    <w:rsid w:val="0028129C"/>
    <w:rsid w:val="00281DEF"/>
    <w:rsid w:val="00282C6F"/>
    <w:rsid w:val="002832D2"/>
    <w:rsid w:val="00283417"/>
    <w:rsid w:val="00283931"/>
    <w:rsid w:val="002848C4"/>
    <w:rsid w:val="00285EF4"/>
    <w:rsid w:val="00287437"/>
    <w:rsid w:val="00287C1C"/>
    <w:rsid w:val="00290A1D"/>
    <w:rsid w:val="00290ED9"/>
    <w:rsid w:val="002918D6"/>
    <w:rsid w:val="00291B21"/>
    <w:rsid w:val="0029257B"/>
    <w:rsid w:val="0029361E"/>
    <w:rsid w:val="00293868"/>
    <w:rsid w:val="0029502E"/>
    <w:rsid w:val="00295AE6"/>
    <w:rsid w:val="002961C3"/>
    <w:rsid w:val="0029654A"/>
    <w:rsid w:val="00296690"/>
    <w:rsid w:val="00296789"/>
    <w:rsid w:val="002A2C29"/>
    <w:rsid w:val="002A333C"/>
    <w:rsid w:val="002A3362"/>
    <w:rsid w:val="002A379B"/>
    <w:rsid w:val="002A44F1"/>
    <w:rsid w:val="002A65D3"/>
    <w:rsid w:val="002A6B69"/>
    <w:rsid w:val="002A751A"/>
    <w:rsid w:val="002A76C4"/>
    <w:rsid w:val="002A7AFE"/>
    <w:rsid w:val="002A7F22"/>
    <w:rsid w:val="002B00FA"/>
    <w:rsid w:val="002B15F1"/>
    <w:rsid w:val="002B19DC"/>
    <w:rsid w:val="002B1C46"/>
    <w:rsid w:val="002B1DC9"/>
    <w:rsid w:val="002B2679"/>
    <w:rsid w:val="002B27B8"/>
    <w:rsid w:val="002B2AFB"/>
    <w:rsid w:val="002B32FA"/>
    <w:rsid w:val="002B3E8E"/>
    <w:rsid w:val="002B4A74"/>
    <w:rsid w:val="002B5B4A"/>
    <w:rsid w:val="002B6D1E"/>
    <w:rsid w:val="002C07BE"/>
    <w:rsid w:val="002C21E7"/>
    <w:rsid w:val="002C26E3"/>
    <w:rsid w:val="002C2E6C"/>
    <w:rsid w:val="002C3802"/>
    <w:rsid w:val="002C465C"/>
    <w:rsid w:val="002C4B49"/>
    <w:rsid w:val="002C4C4A"/>
    <w:rsid w:val="002C5636"/>
    <w:rsid w:val="002C5AED"/>
    <w:rsid w:val="002C6BD6"/>
    <w:rsid w:val="002C6DF9"/>
    <w:rsid w:val="002D071D"/>
    <w:rsid w:val="002D1034"/>
    <w:rsid w:val="002D1692"/>
    <w:rsid w:val="002D18FF"/>
    <w:rsid w:val="002D193A"/>
    <w:rsid w:val="002D2E69"/>
    <w:rsid w:val="002D3E4A"/>
    <w:rsid w:val="002D5C10"/>
    <w:rsid w:val="002D7EC8"/>
    <w:rsid w:val="002E11DC"/>
    <w:rsid w:val="002E1601"/>
    <w:rsid w:val="002E2171"/>
    <w:rsid w:val="002E2B5F"/>
    <w:rsid w:val="002E4421"/>
    <w:rsid w:val="002E5E41"/>
    <w:rsid w:val="002E720A"/>
    <w:rsid w:val="002E7A9E"/>
    <w:rsid w:val="002F038A"/>
    <w:rsid w:val="002F0868"/>
    <w:rsid w:val="002F1711"/>
    <w:rsid w:val="002F219C"/>
    <w:rsid w:val="002F22E8"/>
    <w:rsid w:val="002F2402"/>
    <w:rsid w:val="002F2F95"/>
    <w:rsid w:val="002F4F18"/>
    <w:rsid w:val="002F5819"/>
    <w:rsid w:val="002F5957"/>
    <w:rsid w:val="002F6BDD"/>
    <w:rsid w:val="002F6D9D"/>
    <w:rsid w:val="00300231"/>
    <w:rsid w:val="00300998"/>
    <w:rsid w:val="003020E1"/>
    <w:rsid w:val="00302D6A"/>
    <w:rsid w:val="0030306F"/>
    <w:rsid w:val="003031CB"/>
    <w:rsid w:val="0030590A"/>
    <w:rsid w:val="00305DEA"/>
    <w:rsid w:val="003063D0"/>
    <w:rsid w:val="00306D88"/>
    <w:rsid w:val="0030746C"/>
    <w:rsid w:val="00307D72"/>
    <w:rsid w:val="00310035"/>
    <w:rsid w:val="003103E1"/>
    <w:rsid w:val="0031190E"/>
    <w:rsid w:val="00311B23"/>
    <w:rsid w:val="00313D63"/>
    <w:rsid w:val="00314698"/>
    <w:rsid w:val="00315106"/>
    <w:rsid w:val="00316AE0"/>
    <w:rsid w:val="00316B7A"/>
    <w:rsid w:val="0032042D"/>
    <w:rsid w:val="0032094D"/>
    <w:rsid w:val="00320B7D"/>
    <w:rsid w:val="00321A01"/>
    <w:rsid w:val="00322226"/>
    <w:rsid w:val="003238A0"/>
    <w:rsid w:val="00323B8F"/>
    <w:rsid w:val="003251EE"/>
    <w:rsid w:val="003270D3"/>
    <w:rsid w:val="003278A9"/>
    <w:rsid w:val="003311E1"/>
    <w:rsid w:val="00332823"/>
    <w:rsid w:val="00334BBC"/>
    <w:rsid w:val="0033657B"/>
    <w:rsid w:val="00344CD6"/>
    <w:rsid w:val="003454B2"/>
    <w:rsid w:val="00345C6D"/>
    <w:rsid w:val="003503B8"/>
    <w:rsid w:val="00350DC9"/>
    <w:rsid w:val="0035100D"/>
    <w:rsid w:val="003513D4"/>
    <w:rsid w:val="00352A7D"/>
    <w:rsid w:val="00354BD2"/>
    <w:rsid w:val="00355C89"/>
    <w:rsid w:val="00357759"/>
    <w:rsid w:val="00357ECA"/>
    <w:rsid w:val="003607B5"/>
    <w:rsid w:val="00360CEC"/>
    <w:rsid w:val="0036153F"/>
    <w:rsid w:val="003619B7"/>
    <w:rsid w:val="00362A34"/>
    <w:rsid w:val="00363612"/>
    <w:rsid w:val="003640CB"/>
    <w:rsid w:val="00364AA2"/>
    <w:rsid w:val="00365083"/>
    <w:rsid w:val="00365D4F"/>
    <w:rsid w:val="00366567"/>
    <w:rsid w:val="003665A4"/>
    <w:rsid w:val="00366A07"/>
    <w:rsid w:val="00366D61"/>
    <w:rsid w:val="00366F8D"/>
    <w:rsid w:val="0036705A"/>
    <w:rsid w:val="0037008F"/>
    <w:rsid w:val="003702DA"/>
    <w:rsid w:val="00371394"/>
    <w:rsid w:val="00371F62"/>
    <w:rsid w:val="0037328F"/>
    <w:rsid w:val="00373575"/>
    <w:rsid w:val="003735C9"/>
    <w:rsid w:val="003743E7"/>
    <w:rsid w:val="00374BB9"/>
    <w:rsid w:val="00376975"/>
    <w:rsid w:val="00376985"/>
    <w:rsid w:val="003777BD"/>
    <w:rsid w:val="00380D55"/>
    <w:rsid w:val="00382E0B"/>
    <w:rsid w:val="00383799"/>
    <w:rsid w:val="00383AB1"/>
    <w:rsid w:val="003841B5"/>
    <w:rsid w:val="0038451F"/>
    <w:rsid w:val="00384585"/>
    <w:rsid w:val="00384825"/>
    <w:rsid w:val="003849B6"/>
    <w:rsid w:val="00384A5E"/>
    <w:rsid w:val="003869B2"/>
    <w:rsid w:val="0038793B"/>
    <w:rsid w:val="0039048F"/>
    <w:rsid w:val="003913FC"/>
    <w:rsid w:val="00391E82"/>
    <w:rsid w:val="0039221D"/>
    <w:rsid w:val="00392CD2"/>
    <w:rsid w:val="003934BF"/>
    <w:rsid w:val="00394481"/>
    <w:rsid w:val="00395D91"/>
    <w:rsid w:val="00395ED8"/>
    <w:rsid w:val="00397BB4"/>
    <w:rsid w:val="003A013A"/>
    <w:rsid w:val="003A0224"/>
    <w:rsid w:val="003A1552"/>
    <w:rsid w:val="003A1FA7"/>
    <w:rsid w:val="003A32DF"/>
    <w:rsid w:val="003A4488"/>
    <w:rsid w:val="003A5806"/>
    <w:rsid w:val="003A618F"/>
    <w:rsid w:val="003A6252"/>
    <w:rsid w:val="003A74F6"/>
    <w:rsid w:val="003B04D8"/>
    <w:rsid w:val="003B2AA9"/>
    <w:rsid w:val="003B30CE"/>
    <w:rsid w:val="003B3763"/>
    <w:rsid w:val="003B405B"/>
    <w:rsid w:val="003B4768"/>
    <w:rsid w:val="003B5544"/>
    <w:rsid w:val="003B5D0D"/>
    <w:rsid w:val="003B6C78"/>
    <w:rsid w:val="003B6E1C"/>
    <w:rsid w:val="003B7ADB"/>
    <w:rsid w:val="003C331C"/>
    <w:rsid w:val="003C405F"/>
    <w:rsid w:val="003C6BA9"/>
    <w:rsid w:val="003C746D"/>
    <w:rsid w:val="003C7D09"/>
    <w:rsid w:val="003D1905"/>
    <w:rsid w:val="003D20BE"/>
    <w:rsid w:val="003D23E0"/>
    <w:rsid w:val="003D25C9"/>
    <w:rsid w:val="003D30D8"/>
    <w:rsid w:val="003D3E74"/>
    <w:rsid w:val="003D3EDA"/>
    <w:rsid w:val="003D44EC"/>
    <w:rsid w:val="003D492B"/>
    <w:rsid w:val="003D5C9F"/>
    <w:rsid w:val="003D64AC"/>
    <w:rsid w:val="003D65A3"/>
    <w:rsid w:val="003D7D4A"/>
    <w:rsid w:val="003E1221"/>
    <w:rsid w:val="003E172F"/>
    <w:rsid w:val="003E2399"/>
    <w:rsid w:val="003E2CFA"/>
    <w:rsid w:val="003E3687"/>
    <w:rsid w:val="003E36F5"/>
    <w:rsid w:val="003E3854"/>
    <w:rsid w:val="003E464F"/>
    <w:rsid w:val="003E4AA7"/>
    <w:rsid w:val="003E5E4D"/>
    <w:rsid w:val="003E71DA"/>
    <w:rsid w:val="003E7869"/>
    <w:rsid w:val="003F0D83"/>
    <w:rsid w:val="003F1B6F"/>
    <w:rsid w:val="003F1BC7"/>
    <w:rsid w:val="003F26AC"/>
    <w:rsid w:val="003F585A"/>
    <w:rsid w:val="003F5D7B"/>
    <w:rsid w:val="003F6059"/>
    <w:rsid w:val="003F6C57"/>
    <w:rsid w:val="004015C5"/>
    <w:rsid w:val="004018C3"/>
    <w:rsid w:val="00401A74"/>
    <w:rsid w:val="00401F08"/>
    <w:rsid w:val="004023C9"/>
    <w:rsid w:val="0040289C"/>
    <w:rsid w:val="00402DB7"/>
    <w:rsid w:val="004034AF"/>
    <w:rsid w:val="00403C25"/>
    <w:rsid w:val="004046FB"/>
    <w:rsid w:val="004049CE"/>
    <w:rsid w:val="004054AA"/>
    <w:rsid w:val="0040691E"/>
    <w:rsid w:val="00406A44"/>
    <w:rsid w:val="00406A90"/>
    <w:rsid w:val="00411A64"/>
    <w:rsid w:val="00412341"/>
    <w:rsid w:val="00416976"/>
    <w:rsid w:val="00416FFE"/>
    <w:rsid w:val="00421178"/>
    <w:rsid w:val="00423A8D"/>
    <w:rsid w:val="00424147"/>
    <w:rsid w:val="0042470A"/>
    <w:rsid w:val="00424B1A"/>
    <w:rsid w:val="00424CA5"/>
    <w:rsid w:val="00425036"/>
    <w:rsid w:val="00425B9E"/>
    <w:rsid w:val="00426262"/>
    <w:rsid w:val="004269E4"/>
    <w:rsid w:val="0043115E"/>
    <w:rsid w:val="00431899"/>
    <w:rsid w:val="0043257C"/>
    <w:rsid w:val="00432907"/>
    <w:rsid w:val="00432E04"/>
    <w:rsid w:val="0043397E"/>
    <w:rsid w:val="00434235"/>
    <w:rsid w:val="00434244"/>
    <w:rsid w:val="00436177"/>
    <w:rsid w:val="00437B2B"/>
    <w:rsid w:val="004410F1"/>
    <w:rsid w:val="0044191F"/>
    <w:rsid w:val="0044336D"/>
    <w:rsid w:val="004433DC"/>
    <w:rsid w:val="00443955"/>
    <w:rsid w:val="00444EB6"/>
    <w:rsid w:val="00445D10"/>
    <w:rsid w:val="00447080"/>
    <w:rsid w:val="0044758A"/>
    <w:rsid w:val="0044772E"/>
    <w:rsid w:val="004478B1"/>
    <w:rsid w:val="00451314"/>
    <w:rsid w:val="00452175"/>
    <w:rsid w:val="004529F3"/>
    <w:rsid w:val="0045368C"/>
    <w:rsid w:val="00454B4C"/>
    <w:rsid w:val="00455411"/>
    <w:rsid w:val="0045573E"/>
    <w:rsid w:val="0045743D"/>
    <w:rsid w:val="004575E1"/>
    <w:rsid w:val="004607F5"/>
    <w:rsid w:val="004613FA"/>
    <w:rsid w:val="0046194A"/>
    <w:rsid w:val="00462087"/>
    <w:rsid w:val="00462BEA"/>
    <w:rsid w:val="004649FC"/>
    <w:rsid w:val="00465FEB"/>
    <w:rsid w:val="004677D7"/>
    <w:rsid w:val="00467BC6"/>
    <w:rsid w:val="0047036F"/>
    <w:rsid w:val="00472417"/>
    <w:rsid w:val="0047245C"/>
    <w:rsid w:val="00473062"/>
    <w:rsid w:val="004758A1"/>
    <w:rsid w:val="00475924"/>
    <w:rsid w:val="00475A98"/>
    <w:rsid w:val="00475D1C"/>
    <w:rsid w:val="00476E21"/>
    <w:rsid w:val="00480163"/>
    <w:rsid w:val="004808F8"/>
    <w:rsid w:val="00481898"/>
    <w:rsid w:val="00481A76"/>
    <w:rsid w:val="004823FA"/>
    <w:rsid w:val="00482EF3"/>
    <w:rsid w:val="004830BE"/>
    <w:rsid w:val="00486E04"/>
    <w:rsid w:val="00486E5A"/>
    <w:rsid w:val="00487A56"/>
    <w:rsid w:val="00487B93"/>
    <w:rsid w:val="00490D2F"/>
    <w:rsid w:val="00493D01"/>
    <w:rsid w:val="0049417F"/>
    <w:rsid w:val="0049680C"/>
    <w:rsid w:val="0049706D"/>
    <w:rsid w:val="00497A1D"/>
    <w:rsid w:val="004A3224"/>
    <w:rsid w:val="004A3BEA"/>
    <w:rsid w:val="004A594A"/>
    <w:rsid w:val="004A6E99"/>
    <w:rsid w:val="004B1498"/>
    <w:rsid w:val="004B1DC1"/>
    <w:rsid w:val="004B21C6"/>
    <w:rsid w:val="004B2622"/>
    <w:rsid w:val="004B308F"/>
    <w:rsid w:val="004B3459"/>
    <w:rsid w:val="004B6E36"/>
    <w:rsid w:val="004B78EB"/>
    <w:rsid w:val="004B7D78"/>
    <w:rsid w:val="004C0A94"/>
    <w:rsid w:val="004C10C5"/>
    <w:rsid w:val="004C1E7A"/>
    <w:rsid w:val="004C419C"/>
    <w:rsid w:val="004C58AF"/>
    <w:rsid w:val="004C591E"/>
    <w:rsid w:val="004C6C69"/>
    <w:rsid w:val="004C71F5"/>
    <w:rsid w:val="004C728A"/>
    <w:rsid w:val="004C73B5"/>
    <w:rsid w:val="004C7E6C"/>
    <w:rsid w:val="004D0373"/>
    <w:rsid w:val="004D0CEE"/>
    <w:rsid w:val="004D19D1"/>
    <w:rsid w:val="004D2050"/>
    <w:rsid w:val="004D314A"/>
    <w:rsid w:val="004D3273"/>
    <w:rsid w:val="004D34D4"/>
    <w:rsid w:val="004D3584"/>
    <w:rsid w:val="004D3D84"/>
    <w:rsid w:val="004D3DE3"/>
    <w:rsid w:val="004D4803"/>
    <w:rsid w:val="004D518F"/>
    <w:rsid w:val="004D5806"/>
    <w:rsid w:val="004D69FF"/>
    <w:rsid w:val="004D6E2F"/>
    <w:rsid w:val="004D7E7C"/>
    <w:rsid w:val="004D7FE9"/>
    <w:rsid w:val="004E0320"/>
    <w:rsid w:val="004E1051"/>
    <w:rsid w:val="004E1BDE"/>
    <w:rsid w:val="004E1EEB"/>
    <w:rsid w:val="004E2C60"/>
    <w:rsid w:val="004E4246"/>
    <w:rsid w:val="004E42E4"/>
    <w:rsid w:val="004E51F1"/>
    <w:rsid w:val="004E5539"/>
    <w:rsid w:val="004E6C72"/>
    <w:rsid w:val="004E7E36"/>
    <w:rsid w:val="004F1594"/>
    <w:rsid w:val="004F1D1F"/>
    <w:rsid w:val="004F1FF0"/>
    <w:rsid w:val="004F2BCF"/>
    <w:rsid w:val="004F2C88"/>
    <w:rsid w:val="004F32A0"/>
    <w:rsid w:val="004F5D83"/>
    <w:rsid w:val="004F620E"/>
    <w:rsid w:val="004F6322"/>
    <w:rsid w:val="004F7222"/>
    <w:rsid w:val="004F77C2"/>
    <w:rsid w:val="004F7C63"/>
    <w:rsid w:val="00500397"/>
    <w:rsid w:val="00502CEC"/>
    <w:rsid w:val="00505587"/>
    <w:rsid w:val="00505F60"/>
    <w:rsid w:val="00506561"/>
    <w:rsid w:val="00506BB9"/>
    <w:rsid w:val="00507125"/>
    <w:rsid w:val="00510F0B"/>
    <w:rsid w:val="00511FDD"/>
    <w:rsid w:val="00512099"/>
    <w:rsid w:val="0051254A"/>
    <w:rsid w:val="005132B4"/>
    <w:rsid w:val="005202E5"/>
    <w:rsid w:val="0052153F"/>
    <w:rsid w:val="00521588"/>
    <w:rsid w:val="00521CC1"/>
    <w:rsid w:val="00522425"/>
    <w:rsid w:val="00524263"/>
    <w:rsid w:val="00525333"/>
    <w:rsid w:val="00525A95"/>
    <w:rsid w:val="00530C1E"/>
    <w:rsid w:val="00530D5E"/>
    <w:rsid w:val="00531117"/>
    <w:rsid w:val="005330B6"/>
    <w:rsid w:val="0053337F"/>
    <w:rsid w:val="005339BA"/>
    <w:rsid w:val="0053632F"/>
    <w:rsid w:val="00537A2B"/>
    <w:rsid w:val="00537C3C"/>
    <w:rsid w:val="00540DCD"/>
    <w:rsid w:val="0054110C"/>
    <w:rsid w:val="00541D68"/>
    <w:rsid w:val="00541EDB"/>
    <w:rsid w:val="005421C5"/>
    <w:rsid w:val="00544EEE"/>
    <w:rsid w:val="0054533A"/>
    <w:rsid w:val="00545897"/>
    <w:rsid w:val="00546503"/>
    <w:rsid w:val="00547064"/>
    <w:rsid w:val="00547375"/>
    <w:rsid w:val="005500F8"/>
    <w:rsid w:val="005507F4"/>
    <w:rsid w:val="00550F9D"/>
    <w:rsid w:val="00551633"/>
    <w:rsid w:val="00551759"/>
    <w:rsid w:val="00551A6E"/>
    <w:rsid w:val="00552B33"/>
    <w:rsid w:val="00552F9C"/>
    <w:rsid w:val="00553688"/>
    <w:rsid w:val="005547E7"/>
    <w:rsid w:val="00554CB0"/>
    <w:rsid w:val="00557862"/>
    <w:rsid w:val="00557959"/>
    <w:rsid w:val="0056082F"/>
    <w:rsid w:val="005614C1"/>
    <w:rsid w:val="00563993"/>
    <w:rsid w:val="0056454B"/>
    <w:rsid w:val="00565431"/>
    <w:rsid w:val="0056596E"/>
    <w:rsid w:val="005668B4"/>
    <w:rsid w:val="00567F44"/>
    <w:rsid w:val="005701FD"/>
    <w:rsid w:val="0057040F"/>
    <w:rsid w:val="00570F19"/>
    <w:rsid w:val="00571047"/>
    <w:rsid w:val="0057281B"/>
    <w:rsid w:val="00573319"/>
    <w:rsid w:val="00573387"/>
    <w:rsid w:val="005733E2"/>
    <w:rsid w:val="005743F6"/>
    <w:rsid w:val="0057523F"/>
    <w:rsid w:val="00575314"/>
    <w:rsid w:val="00575811"/>
    <w:rsid w:val="00576634"/>
    <w:rsid w:val="005770AC"/>
    <w:rsid w:val="005773B3"/>
    <w:rsid w:val="005808C3"/>
    <w:rsid w:val="00580A5D"/>
    <w:rsid w:val="0058129F"/>
    <w:rsid w:val="005815A8"/>
    <w:rsid w:val="00581AC3"/>
    <w:rsid w:val="00581E78"/>
    <w:rsid w:val="00582262"/>
    <w:rsid w:val="0058230A"/>
    <w:rsid w:val="00582C6B"/>
    <w:rsid w:val="00582E5C"/>
    <w:rsid w:val="00583508"/>
    <w:rsid w:val="005847C7"/>
    <w:rsid w:val="00584A4F"/>
    <w:rsid w:val="00584DC0"/>
    <w:rsid w:val="00585B56"/>
    <w:rsid w:val="005868DD"/>
    <w:rsid w:val="00586E87"/>
    <w:rsid w:val="00590A91"/>
    <w:rsid w:val="00590E91"/>
    <w:rsid w:val="00591E0C"/>
    <w:rsid w:val="00592191"/>
    <w:rsid w:val="00592F80"/>
    <w:rsid w:val="005944E5"/>
    <w:rsid w:val="00594616"/>
    <w:rsid w:val="00594C02"/>
    <w:rsid w:val="00594C62"/>
    <w:rsid w:val="0059595D"/>
    <w:rsid w:val="00595C15"/>
    <w:rsid w:val="005960C4"/>
    <w:rsid w:val="00596363"/>
    <w:rsid w:val="00596C4D"/>
    <w:rsid w:val="0059707A"/>
    <w:rsid w:val="005A1012"/>
    <w:rsid w:val="005A18BD"/>
    <w:rsid w:val="005A1C70"/>
    <w:rsid w:val="005A1FD2"/>
    <w:rsid w:val="005A266F"/>
    <w:rsid w:val="005A3192"/>
    <w:rsid w:val="005A35BB"/>
    <w:rsid w:val="005A4414"/>
    <w:rsid w:val="005A46AD"/>
    <w:rsid w:val="005A526A"/>
    <w:rsid w:val="005A5B1D"/>
    <w:rsid w:val="005A616E"/>
    <w:rsid w:val="005A6D5C"/>
    <w:rsid w:val="005A7622"/>
    <w:rsid w:val="005B0B23"/>
    <w:rsid w:val="005B3AA1"/>
    <w:rsid w:val="005B3F42"/>
    <w:rsid w:val="005B582F"/>
    <w:rsid w:val="005B6037"/>
    <w:rsid w:val="005B6151"/>
    <w:rsid w:val="005B69D4"/>
    <w:rsid w:val="005B6D72"/>
    <w:rsid w:val="005B704E"/>
    <w:rsid w:val="005C0CA5"/>
    <w:rsid w:val="005C29C5"/>
    <w:rsid w:val="005C4CC6"/>
    <w:rsid w:val="005C5D61"/>
    <w:rsid w:val="005C5E73"/>
    <w:rsid w:val="005C66C7"/>
    <w:rsid w:val="005C6D54"/>
    <w:rsid w:val="005C796C"/>
    <w:rsid w:val="005D116D"/>
    <w:rsid w:val="005D3B9B"/>
    <w:rsid w:val="005D3ED6"/>
    <w:rsid w:val="005D4480"/>
    <w:rsid w:val="005D4D81"/>
    <w:rsid w:val="005D58D8"/>
    <w:rsid w:val="005D5F89"/>
    <w:rsid w:val="005D60EB"/>
    <w:rsid w:val="005D72AF"/>
    <w:rsid w:val="005E038B"/>
    <w:rsid w:val="005E0434"/>
    <w:rsid w:val="005E0C4C"/>
    <w:rsid w:val="005E180F"/>
    <w:rsid w:val="005E1E77"/>
    <w:rsid w:val="005E284A"/>
    <w:rsid w:val="005E40FA"/>
    <w:rsid w:val="005E49AD"/>
    <w:rsid w:val="005E5619"/>
    <w:rsid w:val="005E649E"/>
    <w:rsid w:val="005E6998"/>
    <w:rsid w:val="005F1453"/>
    <w:rsid w:val="005F167F"/>
    <w:rsid w:val="005F1B01"/>
    <w:rsid w:val="005F254E"/>
    <w:rsid w:val="005F4615"/>
    <w:rsid w:val="005F53B6"/>
    <w:rsid w:val="005F75C3"/>
    <w:rsid w:val="006002A8"/>
    <w:rsid w:val="00603E94"/>
    <w:rsid w:val="00604C82"/>
    <w:rsid w:val="006058E3"/>
    <w:rsid w:val="00606A8A"/>
    <w:rsid w:val="00606BF5"/>
    <w:rsid w:val="00607C8B"/>
    <w:rsid w:val="00611600"/>
    <w:rsid w:val="00611DDB"/>
    <w:rsid w:val="006124C3"/>
    <w:rsid w:val="00612939"/>
    <w:rsid w:val="006131B6"/>
    <w:rsid w:val="00613F54"/>
    <w:rsid w:val="006152F3"/>
    <w:rsid w:val="006155E6"/>
    <w:rsid w:val="0061571B"/>
    <w:rsid w:val="00615EED"/>
    <w:rsid w:val="006160F8"/>
    <w:rsid w:val="0061614F"/>
    <w:rsid w:val="00620114"/>
    <w:rsid w:val="0062070A"/>
    <w:rsid w:val="00621166"/>
    <w:rsid w:val="00623175"/>
    <w:rsid w:val="006234B9"/>
    <w:rsid w:val="006249EA"/>
    <w:rsid w:val="00624DB7"/>
    <w:rsid w:val="006261C6"/>
    <w:rsid w:val="00626DB6"/>
    <w:rsid w:val="00627A55"/>
    <w:rsid w:val="00630407"/>
    <w:rsid w:val="00630589"/>
    <w:rsid w:val="00630ADF"/>
    <w:rsid w:val="00630D52"/>
    <w:rsid w:val="0063113F"/>
    <w:rsid w:val="00631196"/>
    <w:rsid w:val="00631B9D"/>
    <w:rsid w:val="00632605"/>
    <w:rsid w:val="00635794"/>
    <w:rsid w:val="0064268A"/>
    <w:rsid w:val="006429E3"/>
    <w:rsid w:val="00643AEF"/>
    <w:rsid w:val="00645554"/>
    <w:rsid w:val="00645F74"/>
    <w:rsid w:val="00645F99"/>
    <w:rsid w:val="00647BEE"/>
    <w:rsid w:val="00647D03"/>
    <w:rsid w:val="006517F5"/>
    <w:rsid w:val="00652989"/>
    <w:rsid w:val="00652AB0"/>
    <w:rsid w:val="006537AC"/>
    <w:rsid w:val="00654207"/>
    <w:rsid w:val="00656290"/>
    <w:rsid w:val="006567B2"/>
    <w:rsid w:val="00656E6B"/>
    <w:rsid w:val="0065736D"/>
    <w:rsid w:val="006574FB"/>
    <w:rsid w:val="006576D6"/>
    <w:rsid w:val="00657BDF"/>
    <w:rsid w:val="00657FEC"/>
    <w:rsid w:val="00661B89"/>
    <w:rsid w:val="00662177"/>
    <w:rsid w:val="00662209"/>
    <w:rsid w:val="00663DE6"/>
    <w:rsid w:val="00664C3F"/>
    <w:rsid w:val="0066556E"/>
    <w:rsid w:val="0066622F"/>
    <w:rsid w:val="00667FD9"/>
    <w:rsid w:val="0067018A"/>
    <w:rsid w:val="0067044A"/>
    <w:rsid w:val="00672158"/>
    <w:rsid w:val="00674078"/>
    <w:rsid w:val="0067495B"/>
    <w:rsid w:val="0067495E"/>
    <w:rsid w:val="00675F07"/>
    <w:rsid w:val="0067733A"/>
    <w:rsid w:val="00681ABE"/>
    <w:rsid w:val="00681C51"/>
    <w:rsid w:val="00681F16"/>
    <w:rsid w:val="006824AF"/>
    <w:rsid w:val="00682B1F"/>
    <w:rsid w:val="0068488F"/>
    <w:rsid w:val="006861B3"/>
    <w:rsid w:val="006879EC"/>
    <w:rsid w:val="00687D6E"/>
    <w:rsid w:val="006905A8"/>
    <w:rsid w:val="0069276C"/>
    <w:rsid w:val="00692E30"/>
    <w:rsid w:val="006942E1"/>
    <w:rsid w:val="0069557B"/>
    <w:rsid w:val="006959CA"/>
    <w:rsid w:val="00695A9D"/>
    <w:rsid w:val="006978F3"/>
    <w:rsid w:val="00697926"/>
    <w:rsid w:val="00697DF9"/>
    <w:rsid w:val="006A0137"/>
    <w:rsid w:val="006A3D07"/>
    <w:rsid w:val="006A3F06"/>
    <w:rsid w:val="006A4344"/>
    <w:rsid w:val="006A434C"/>
    <w:rsid w:val="006A43F7"/>
    <w:rsid w:val="006A46F1"/>
    <w:rsid w:val="006A4B38"/>
    <w:rsid w:val="006A4E80"/>
    <w:rsid w:val="006A5878"/>
    <w:rsid w:val="006A59FB"/>
    <w:rsid w:val="006A5BBF"/>
    <w:rsid w:val="006A5FE4"/>
    <w:rsid w:val="006A6EBF"/>
    <w:rsid w:val="006A78E7"/>
    <w:rsid w:val="006A7999"/>
    <w:rsid w:val="006B0172"/>
    <w:rsid w:val="006B0197"/>
    <w:rsid w:val="006B1093"/>
    <w:rsid w:val="006B22BB"/>
    <w:rsid w:val="006B4D1D"/>
    <w:rsid w:val="006B4E42"/>
    <w:rsid w:val="006B52BA"/>
    <w:rsid w:val="006B58AA"/>
    <w:rsid w:val="006B5D0A"/>
    <w:rsid w:val="006B5D91"/>
    <w:rsid w:val="006B6575"/>
    <w:rsid w:val="006B65A8"/>
    <w:rsid w:val="006B7390"/>
    <w:rsid w:val="006B73C1"/>
    <w:rsid w:val="006C0A69"/>
    <w:rsid w:val="006C1087"/>
    <w:rsid w:val="006C12D0"/>
    <w:rsid w:val="006C27DF"/>
    <w:rsid w:val="006C35CD"/>
    <w:rsid w:val="006C7249"/>
    <w:rsid w:val="006D0209"/>
    <w:rsid w:val="006D0723"/>
    <w:rsid w:val="006D076E"/>
    <w:rsid w:val="006D1A73"/>
    <w:rsid w:val="006D2234"/>
    <w:rsid w:val="006D2687"/>
    <w:rsid w:val="006D273C"/>
    <w:rsid w:val="006D2B8B"/>
    <w:rsid w:val="006D377B"/>
    <w:rsid w:val="006D3AE7"/>
    <w:rsid w:val="006D6A90"/>
    <w:rsid w:val="006D732C"/>
    <w:rsid w:val="006D773B"/>
    <w:rsid w:val="006E057B"/>
    <w:rsid w:val="006E0EF6"/>
    <w:rsid w:val="006E1A57"/>
    <w:rsid w:val="006E2152"/>
    <w:rsid w:val="006E2836"/>
    <w:rsid w:val="006E2D56"/>
    <w:rsid w:val="006E37B2"/>
    <w:rsid w:val="006E3E83"/>
    <w:rsid w:val="006E41E5"/>
    <w:rsid w:val="006E6036"/>
    <w:rsid w:val="006E652B"/>
    <w:rsid w:val="006E7713"/>
    <w:rsid w:val="006E787B"/>
    <w:rsid w:val="006F0C5E"/>
    <w:rsid w:val="006F3AB7"/>
    <w:rsid w:val="006F4593"/>
    <w:rsid w:val="006F4B64"/>
    <w:rsid w:val="006F5112"/>
    <w:rsid w:val="006F7182"/>
    <w:rsid w:val="006F74EC"/>
    <w:rsid w:val="006F7656"/>
    <w:rsid w:val="00701CE6"/>
    <w:rsid w:val="00703228"/>
    <w:rsid w:val="00704179"/>
    <w:rsid w:val="00704C67"/>
    <w:rsid w:val="00704E24"/>
    <w:rsid w:val="00705BC0"/>
    <w:rsid w:val="007069DE"/>
    <w:rsid w:val="00706C98"/>
    <w:rsid w:val="00706E8C"/>
    <w:rsid w:val="00707010"/>
    <w:rsid w:val="00707510"/>
    <w:rsid w:val="0071069C"/>
    <w:rsid w:val="00710BBA"/>
    <w:rsid w:val="00711912"/>
    <w:rsid w:val="007120A3"/>
    <w:rsid w:val="007121F8"/>
    <w:rsid w:val="00713043"/>
    <w:rsid w:val="00713323"/>
    <w:rsid w:val="00713745"/>
    <w:rsid w:val="00714509"/>
    <w:rsid w:val="007146AE"/>
    <w:rsid w:val="00715290"/>
    <w:rsid w:val="00715BF5"/>
    <w:rsid w:val="007165BC"/>
    <w:rsid w:val="007173C5"/>
    <w:rsid w:val="007201A6"/>
    <w:rsid w:val="007208C5"/>
    <w:rsid w:val="00721135"/>
    <w:rsid w:val="00721255"/>
    <w:rsid w:val="00721EA0"/>
    <w:rsid w:val="0072289B"/>
    <w:rsid w:val="00723355"/>
    <w:rsid w:val="0072352A"/>
    <w:rsid w:val="00723683"/>
    <w:rsid w:val="00724A48"/>
    <w:rsid w:val="00725650"/>
    <w:rsid w:val="00725B08"/>
    <w:rsid w:val="0072641B"/>
    <w:rsid w:val="007274BE"/>
    <w:rsid w:val="00730471"/>
    <w:rsid w:val="00730F63"/>
    <w:rsid w:val="0073112F"/>
    <w:rsid w:val="0073121F"/>
    <w:rsid w:val="0073122D"/>
    <w:rsid w:val="0073243A"/>
    <w:rsid w:val="00732879"/>
    <w:rsid w:val="007330BF"/>
    <w:rsid w:val="00733111"/>
    <w:rsid w:val="007332DF"/>
    <w:rsid w:val="0073424A"/>
    <w:rsid w:val="0073602F"/>
    <w:rsid w:val="007376DB"/>
    <w:rsid w:val="00741FF8"/>
    <w:rsid w:val="00742739"/>
    <w:rsid w:val="00743B16"/>
    <w:rsid w:val="00744CE2"/>
    <w:rsid w:val="00745992"/>
    <w:rsid w:val="00745D04"/>
    <w:rsid w:val="00745EE2"/>
    <w:rsid w:val="00745F0A"/>
    <w:rsid w:val="00745F55"/>
    <w:rsid w:val="0074704D"/>
    <w:rsid w:val="00750F7E"/>
    <w:rsid w:val="007522BC"/>
    <w:rsid w:val="007533C6"/>
    <w:rsid w:val="007537B8"/>
    <w:rsid w:val="007549AB"/>
    <w:rsid w:val="007576C0"/>
    <w:rsid w:val="00757AAD"/>
    <w:rsid w:val="00757C5F"/>
    <w:rsid w:val="00757CE9"/>
    <w:rsid w:val="00757CF3"/>
    <w:rsid w:val="00757E26"/>
    <w:rsid w:val="007605C1"/>
    <w:rsid w:val="00761847"/>
    <w:rsid w:val="007643EE"/>
    <w:rsid w:val="00767340"/>
    <w:rsid w:val="00767C45"/>
    <w:rsid w:val="00770444"/>
    <w:rsid w:val="007704A2"/>
    <w:rsid w:val="00770706"/>
    <w:rsid w:val="00770F49"/>
    <w:rsid w:val="0077157D"/>
    <w:rsid w:val="007715DB"/>
    <w:rsid w:val="00772082"/>
    <w:rsid w:val="007721FF"/>
    <w:rsid w:val="0077297A"/>
    <w:rsid w:val="00773180"/>
    <w:rsid w:val="007734DF"/>
    <w:rsid w:val="007744EC"/>
    <w:rsid w:val="00774BF1"/>
    <w:rsid w:val="00774EE6"/>
    <w:rsid w:val="00776271"/>
    <w:rsid w:val="007768B5"/>
    <w:rsid w:val="00777C1C"/>
    <w:rsid w:val="00777F2E"/>
    <w:rsid w:val="0078174E"/>
    <w:rsid w:val="0078315F"/>
    <w:rsid w:val="00783AFB"/>
    <w:rsid w:val="00783F62"/>
    <w:rsid w:val="00785413"/>
    <w:rsid w:val="0078681A"/>
    <w:rsid w:val="00790155"/>
    <w:rsid w:val="00790BC8"/>
    <w:rsid w:val="00790E9B"/>
    <w:rsid w:val="007912AE"/>
    <w:rsid w:val="00791F49"/>
    <w:rsid w:val="0079313A"/>
    <w:rsid w:val="0079576E"/>
    <w:rsid w:val="00796708"/>
    <w:rsid w:val="00796FB4"/>
    <w:rsid w:val="0079711C"/>
    <w:rsid w:val="0079734B"/>
    <w:rsid w:val="007A0DD3"/>
    <w:rsid w:val="007A3E0F"/>
    <w:rsid w:val="007A449A"/>
    <w:rsid w:val="007A59FE"/>
    <w:rsid w:val="007A65C3"/>
    <w:rsid w:val="007A7975"/>
    <w:rsid w:val="007B0549"/>
    <w:rsid w:val="007B2644"/>
    <w:rsid w:val="007B551C"/>
    <w:rsid w:val="007B6A6C"/>
    <w:rsid w:val="007B7B6F"/>
    <w:rsid w:val="007C115C"/>
    <w:rsid w:val="007C1636"/>
    <w:rsid w:val="007C16DA"/>
    <w:rsid w:val="007C1734"/>
    <w:rsid w:val="007C4356"/>
    <w:rsid w:val="007C5374"/>
    <w:rsid w:val="007C66F4"/>
    <w:rsid w:val="007C776C"/>
    <w:rsid w:val="007C7A1D"/>
    <w:rsid w:val="007D1481"/>
    <w:rsid w:val="007D14B2"/>
    <w:rsid w:val="007D1C42"/>
    <w:rsid w:val="007D1C61"/>
    <w:rsid w:val="007D2629"/>
    <w:rsid w:val="007D2818"/>
    <w:rsid w:val="007D3906"/>
    <w:rsid w:val="007D3FB8"/>
    <w:rsid w:val="007D6780"/>
    <w:rsid w:val="007D7B05"/>
    <w:rsid w:val="007E0A4B"/>
    <w:rsid w:val="007E1A88"/>
    <w:rsid w:val="007E366D"/>
    <w:rsid w:val="007E5150"/>
    <w:rsid w:val="007E56A4"/>
    <w:rsid w:val="007E58B9"/>
    <w:rsid w:val="007E638D"/>
    <w:rsid w:val="007E6653"/>
    <w:rsid w:val="007E6A66"/>
    <w:rsid w:val="007E6BF8"/>
    <w:rsid w:val="007E7512"/>
    <w:rsid w:val="007E77E1"/>
    <w:rsid w:val="007F018D"/>
    <w:rsid w:val="007F15E6"/>
    <w:rsid w:val="007F1B3D"/>
    <w:rsid w:val="007F24D6"/>
    <w:rsid w:val="007F255D"/>
    <w:rsid w:val="007F2E07"/>
    <w:rsid w:val="007F3599"/>
    <w:rsid w:val="007F42A2"/>
    <w:rsid w:val="007F546D"/>
    <w:rsid w:val="007F5F45"/>
    <w:rsid w:val="007F707C"/>
    <w:rsid w:val="007F718F"/>
    <w:rsid w:val="007F794C"/>
    <w:rsid w:val="007F7977"/>
    <w:rsid w:val="007F7E0B"/>
    <w:rsid w:val="008000EC"/>
    <w:rsid w:val="00801696"/>
    <w:rsid w:val="00801F9B"/>
    <w:rsid w:val="00802B29"/>
    <w:rsid w:val="008036AA"/>
    <w:rsid w:val="00805286"/>
    <w:rsid w:val="00805E4A"/>
    <w:rsid w:val="0080774D"/>
    <w:rsid w:val="00811EDF"/>
    <w:rsid w:val="008121CF"/>
    <w:rsid w:val="00812F44"/>
    <w:rsid w:val="00813818"/>
    <w:rsid w:val="00814C10"/>
    <w:rsid w:val="00817B51"/>
    <w:rsid w:val="008204B8"/>
    <w:rsid w:val="00821073"/>
    <w:rsid w:val="008220AA"/>
    <w:rsid w:val="008237CC"/>
    <w:rsid w:val="008241C0"/>
    <w:rsid w:val="008270B9"/>
    <w:rsid w:val="0083012F"/>
    <w:rsid w:val="00834D74"/>
    <w:rsid w:val="0083678D"/>
    <w:rsid w:val="00836ED8"/>
    <w:rsid w:val="00837D4F"/>
    <w:rsid w:val="00837D9A"/>
    <w:rsid w:val="008403D6"/>
    <w:rsid w:val="008403DD"/>
    <w:rsid w:val="0084043B"/>
    <w:rsid w:val="008413AC"/>
    <w:rsid w:val="00841EDD"/>
    <w:rsid w:val="00844BA8"/>
    <w:rsid w:val="008457A5"/>
    <w:rsid w:val="0084796F"/>
    <w:rsid w:val="00850CCB"/>
    <w:rsid w:val="008512F6"/>
    <w:rsid w:val="00851C2C"/>
    <w:rsid w:val="00852550"/>
    <w:rsid w:val="008530BF"/>
    <w:rsid w:val="00854047"/>
    <w:rsid w:val="00854AD1"/>
    <w:rsid w:val="00855624"/>
    <w:rsid w:val="00856A7E"/>
    <w:rsid w:val="00856B7B"/>
    <w:rsid w:val="00856C6F"/>
    <w:rsid w:val="00857DE0"/>
    <w:rsid w:val="00861629"/>
    <w:rsid w:val="00861FB3"/>
    <w:rsid w:val="0086276A"/>
    <w:rsid w:val="0086321A"/>
    <w:rsid w:val="008637AF"/>
    <w:rsid w:val="0086391E"/>
    <w:rsid w:val="00863C89"/>
    <w:rsid w:val="008650BD"/>
    <w:rsid w:val="0086547E"/>
    <w:rsid w:val="008663ED"/>
    <w:rsid w:val="00866BCB"/>
    <w:rsid w:val="00867852"/>
    <w:rsid w:val="00867B90"/>
    <w:rsid w:val="00871171"/>
    <w:rsid w:val="00872DDE"/>
    <w:rsid w:val="00872DE1"/>
    <w:rsid w:val="0087315B"/>
    <w:rsid w:val="0087420C"/>
    <w:rsid w:val="0087523C"/>
    <w:rsid w:val="008752CB"/>
    <w:rsid w:val="008758C5"/>
    <w:rsid w:val="00877821"/>
    <w:rsid w:val="00880F7D"/>
    <w:rsid w:val="00881436"/>
    <w:rsid w:val="00882426"/>
    <w:rsid w:val="00884C74"/>
    <w:rsid w:val="0088504A"/>
    <w:rsid w:val="008850D6"/>
    <w:rsid w:val="00887761"/>
    <w:rsid w:val="0089105F"/>
    <w:rsid w:val="008912A1"/>
    <w:rsid w:val="008921A5"/>
    <w:rsid w:val="00893694"/>
    <w:rsid w:val="008940C2"/>
    <w:rsid w:val="008951BB"/>
    <w:rsid w:val="00897DAF"/>
    <w:rsid w:val="00897F52"/>
    <w:rsid w:val="008A145C"/>
    <w:rsid w:val="008A157F"/>
    <w:rsid w:val="008A206B"/>
    <w:rsid w:val="008A3942"/>
    <w:rsid w:val="008A3AFF"/>
    <w:rsid w:val="008A3FBD"/>
    <w:rsid w:val="008A61FA"/>
    <w:rsid w:val="008A6425"/>
    <w:rsid w:val="008A68DB"/>
    <w:rsid w:val="008A71D6"/>
    <w:rsid w:val="008A77D9"/>
    <w:rsid w:val="008A7C42"/>
    <w:rsid w:val="008B0B23"/>
    <w:rsid w:val="008B0D9A"/>
    <w:rsid w:val="008B10FC"/>
    <w:rsid w:val="008B11B7"/>
    <w:rsid w:val="008B1526"/>
    <w:rsid w:val="008B2A9B"/>
    <w:rsid w:val="008B2CD9"/>
    <w:rsid w:val="008B34B5"/>
    <w:rsid w:val="008B39CF"/>
    <w:rsid w:val="008B3B7B"/>
    <w:rsid w:val="008B3CF8"/>
    <w:rsid w:val="008B4582"/>
    <w:rsid w:val="008B5B80"/>
    <w:rsid w:val="008B5CCA"/>
    <w:rsid w:val="008B6C80"/>
    <w:rsid w:val="008B7142"/>
    <w:rsid w:val="008B71F5"/>
    <w:rsid w:val="008B7BB0"/>
    <w:rsid w:val="008C095A"/>
    <w:rsid w:val="008C0E93"/>
    <w:rsid w:val="008C30AC"/>
    <w:rsid w:val="008C3836"/>
    <w:rsid w:val="008C4AB0"/>
    <w:rsid w:val="008C53B5"/>
    <w:rsid w:val="008C745D"/>
    <w:rsid w:val="008C7FE9"/>
    <w:rsid w:val="008D1584"/>
    <w:rsid w:val="008D258F"/>
    <w:rsid w:val="008D53EA"/>
    <w:rsid w:val="008D5D1E"/>
    <w:rsid w:val="008D66E1"/>
    <w:rsid w:val="008D764D"/>
    <w:rsid w:val="008D77BB"/>
    <w:rsid w:val="008D7913"/>
    <w:rsid w:val="008E0755"/>
    <w:rsid w:val="008E08FF"/>
    <w:rsid w:val="008E0BC4"/>
    <w:rsid w:val="008E0BF1"/>
    <w:rsid w:val="008E15DC"/>
    <w:rsid w:val="008E2533"/>
    <w:rsid w:val="008E2563"/>
    <w:rsid w:val="008E2DA5"/>
    <w:rsid w:val="008E3194"/>
    <w:rsid w:val="008E460A"/>
    <w:rsid w:val="008E58E2"/>
    <w:rsid w:val="008E5924"/>
    <w:rsid w:val="008E5A0D"/>
    <w:rsid w:val="008E5F35"/>
    <w:rsid w:val="008E6B76"/>
    <w:rsid w:val="008E6DF3"/>
    <w:rsid w:val="008E761F"/>
    <w:rsid w:val="008E7ADA"/>
    <w:rsid w:val="008F0236"/>
    <w:rsid w:val="008F0742"/>
    <w:rsid w:val="008F1424"/>
    <w:rsid w:val="008F269C"/>
    <w:rsid w:val="008F2C91"/>
    <w:rsid w:val="008F2D2F"/>
    <w:rsid w:val="008F2DC3"/>
    <w:rsid w:val="008F361F"/>
    <w:rsid w:val="008F3FBD"/>
    <w:rsid w:val="008F5F47"/>
    <w:rsid w:val="008F5FEB"/>
    <w:rsid w:val="008F681C"/>
    <w:rsid w:val="008F7137"/>
    <w:rsid w:val="008F7A63"/>
    <w:rsid w:val="008F7AFE"/>
    <w:rsid w:val="009017C9"/>
    <w:rsid w:val="009025C4"/>
    <w:rsid w:val="00902B24"/>
    <w:rsid w:val="009038DA"/>
    <w:rsid w:val="00904C32"/>
    <w:rsid w:val="0090598E"/>
    <w:rsid w:val="00905F9B"/>
    <w:rsid w:val="00907FE6"/>
    <w:rsid w:val="009104BF"/>
    <w:rsid w:val="00910AEC"/>
    <w:rsid w:val="00912456"/>
    <w:rsid w:val="00912D7D"/>
    <w:rsid w:val="00913014"/>
    <w:rsid w:val="009138B8"/>
    <w:rsid w:val="009139EB"/>
    <w:rsid w:val="00913CEB"/>
    <w:rsid w:val="00915AC6"/>
    <w:rsid w:val="00915F40"/>
    <w:rsid w:val="009161D8"/>
    <w:rsid w:val="009166AD"/>
    <w:rsid w:val="0091742D"/>
    <w:rsid w:val="00921192"/>
    <w:rsid w:val="00921767"/>
    <w:rsid w:val="00922565"/>
    <w:rsid w:val="00922608"/>
    <w:rsid w:val="00924859"/>
    <w:rsid w:val="009251F6"/>
    <w:rsid w:val="00925288"/>
    <w:rsid w:val="00926244"/>
    <w:rsid w:val="0093076B"/>
    <w:rsid w:val="009309F1"/>
    <w:rsid w:val="009312C9"/>
    <w:rsid w:val="009317F3"/>
    <w:rsid w:val="00932445"/>
    <w:rsid w:val="009329DD"/>
    <w:rsid w:val="00932D09"/>
    <w:rsid w:val="0093345A"/>
    <w:rsid w:val="009340A8"/>
    <w:rsid w:val="00934751"/>
    <w:rsid w:val="00934AD5"/>
    <w:rsid w:val="00934F29"/>
    <w:rsid w:val="0093696A"/>
    <w:rsid w:val="00936E05"/>
    <w:rsid w:val="009377A2"/>
    <w:rsid w:val="0094112F"/>
    <w:rsid w:val="00941366"/>
    <w:rsid w:val="00941EA7"/>
    <w:rsid w:val="00942ADB"/>
    <w:rsid w:val="0094525B"/>
    <w:rsid w:val="00946D57"/>
    <w:rsid w:val="00947241"/>
    <w:rsid w:val="00947934"/>
    <w:rsid w:val="0095136F"/>
    <w:rsid w:val="00952626"/>
    <w:rsid w:val="00952684"/>
    <w:rsid w:val="00952CA6"/>
    <w:rsid w:val="009544F1"/>
    <w:rsid w:val="009549FE"/>
    <w:rsid w:val="00954B40"/>
    <w:rsid w:val="00954C05"/>
    <w:rsid w:val="0095580D"/>
    <w:rsid w:val="00955920"/>
    <w:rsid w:val="009561D2"/>
    <w:rsid w:val="00956AB8"/>
    <w:rsid w:val="00956E85"/>
    <w:rsid w:val="00957A26"/>
    <w:rsid w:val="009645C0"/>
    <w:rsid w:val="009651A9"/>
    <w:rsid w:val="00967140"/>
    <w:rsid w:val="00967857"/>
    <w:rsid w:val="00972A3A"/>
    <w:rsid w:val="00974892"/>
    <w:rsid w:val="00976F5C"/>
    <w:rsid w:val="009805CE"/>
    <w:rsid w:val="00980880"/>
    <w:rsid w:val="00980F05"/>
    <w:rsid w:val="00984036"/>
    <w:rsid w:val="00984757"/>
    <w:rsid w:val="009865B1"/>
    <w:rsid w:val="00986710"/>
    <w:rsid w:val="009878E3"/>
    <w:rsid w:val="009901A6"/>
    <w:rsid w:val="00990460"/>
    <w:rsid w:val="00990D2C"/>
    <w:rsid w:val="00991DF2"/>
    <w:rsid w:val="009932BA"/>
    <w:rsid w:val="00993977"/>
    <w:rsid w:val="00994627"/>
    <w:rsid w:val="00994924"/>
    <w:rsid w:val="00994A50"/>
    <w:rsid w:val="00996467"/>
    <w:rsid w:val="00996E47"/>
    <w:rsid w:val="00997D31"/>
    <w:rsid w:val="009A0DAE"/>
    <w:rsid w:val="009A1062"/>
    <w:rsid w:val="009A1486"/>
    <w:rsid w:val="009A1A25"/>
    <w:rsid w:val="009A21EF"/>
    <w:rsid w:val="009A2AD3"/>
    <w:rsid w:val="009A67AD"/>
    <w:rsid w:val="009A6D80"/>
    <w:rsid w:val="009A75B1"/>
    <w:rsid w:val="009A7677"/>
    <w:rsid w:val="009B027B"/>
    <w:rsid w:val="009B09CB"/>
    <w:rsid w:val="009B2C95"/>
    <w:rsid w:val="009B4FB3"/>
    <w:rsid w:val="009B6CDA"/>
    <w:rsid w:val="009B75FD"/>
    <w:rsid w:val="009B761D"/>
    <w:rsid w:val="009B7B13"/>
    <w:rsid w:val="009C02A5"/>
    <w:rsid w:val="009C0591"/>
    <w:rsid w:val="009C1A80"/>
    <w:rsid w:val="009C24C6"/>
    <w:rsid w:val="009C34BE"/>
    <w:rsid w:val="009C3A54"/>
    <w:rsid w:val="009C43B1"/>
    <w:rsid w:val="009C5677"/>
    <w:rsid w:val="009C58F0"/>
    <w:rsid w:val="009C5AEF"/>
    <w:rsid w:val="009C736A"/>
    <w:rsid w:val="009C7D11"/>
    <w:rsid w:val="009D12E7"/>
    <w:rsid w:val="009D13CE"/>
    <w:rsid w:val="009D1CCD"/>
    <w:rsid w:val="009D2CF6"/>
    <w:rsid w:val="009D2DC1"/>
    <w:rsid w:val="009D4040"/>
    <w:rsid w:val="009D43A1"/>
    <w:rsid w:val="009D451E"/>
    <w:rsid w:val="009D51E0"/>
    <w:rsid w:val="009D5200"/>
    <w:rsid w:val="009D62D0"/>
    <w:rsid w:val="009D6D11"/>
    <w:rsid w:val="009D7046"/>
    <w:rsid w:val="009E1208"/>
    <w:rsid w:val="009E1B83"/>
    <w:rsid w:val="009E277B"/>
    <w:rsid w:val="009E2B02"/>
    <w:rsid w:val="009E34BC"/>
    <w:rsid w:val="009E3A75"/>
    <w:rsid w:val="009E436E"/>
    <w:rsid w:val="009E59BE"/>
    <w:rsid w:val="009E5A5B"/>
    <w:rsid w:val="009E5F03"/>
    <w:rsid w:val="009E63AD"/>
    <w:rsid w:val="009E7DA0"/>
    <w:rsid w:val="009F0875"/>
    <w:rsid w:val="009F0900"/>
    <w:rsid w:val="009F0952"/>
    <w:rsid w:val="009F1E3C"/>
    <w:rsid w:val="009F22D7"/>
    <w:rsid w:val="009F2FC9"/>
    <w:rsid w:val="009F3F04"/>
    <w:rsid w:val="009F3FDB"/>
    <w:rsid w:val="009F5AB2"/>
    <w:rsid w:val="009F5BC2"/>
    <w:rsid w:val="009F6933"/>
    <w:rsid w:val="009F7187"/>
    <w:rsid w:val="00A00BC1"/>
    <w:rsid w:val="00A00F28"/>
    <w:rsid w:val="00A02DA4"/>
    <w:rsid w:val="00A02EFB"/>
    <w:rsid w:val="00A04528"/>
    <w:rsid w:val="00A0506A"/>
    <w:rsid w:val="00A05B72"/>
    <w:rsid w:val="00A06505"/>
    <w:rsid w:val="00A06506"/>
    <w:rsid w:val="00A068B4"/>
    <w:rsid w:val="00A07999"/>
    <w:rsid w:val="00A07EC0"/>
    <w:rsid w:val="00A104FE"/>
    <w:rsid w:val="00A10AF4"/>
    <w:rsid w:val="00A10C86"/>
    <w:rsid w:val="00A11264"/>
    <w:rsid w:val="00A1206A"/>
    <w:rsid w:val="00A12C95"/>
    <w:rsid w:val="00A13099"/>
    <w:rsid w:val="00A14080"/>
    <w:rsid w:val="00A144F0"/>
    <w:rsid w:val="00A14F22"/>
    <w:rsid w:val="00A15625"/>
    <w:rsid w:val="00A157D8"/>
    <w:rsid w:val="00A15A9E"/>
    <w:rsid w:val="00A169C1"/>
    <w:rsid w:val="00A1703E"/>
    <w:rsid w:val="00A174B6"/>
    <w:rsid w:val="00A20EEF"/>
    <w:rsid w:val="00A223F7"/>
    <w:rsid w:val="00A22F14"/>
    <w:rsid w:val="00A26997"/>
    <w:rsid w:val="00A32396"/>
    <w:rsid w:val="00A33619"/>
    <w:rsid w:val="00A35CC7"/>
    <w:rsid w:val="00A36585"/>
    <w:rsid w:val="00A37753"/>
    <w:rsid w:val="00A404F7"/>
    <w:rsid w:val="00A41AF7"/>
    <w:rsid w:val="00A41EA5"/>
    <w:rsid w:val="00A433C3"/>
    <w:rsid w:val="00A4397C"/>
    <w:rsid w:val="00A451FB"/>
    <w:rsid w:val="00A45A2D"/>
    <w:rsid w:val="00A479D2"/>
    <w:rsid w:val="00A50C77"/>
    <w:rsid w:val="00A50DAD"/>
    <w:rsid w:val="00A536B7"/>
    <w:rsid w:val="00A569F8"/>
    <w:rsid w:val="00A571DD"/>
    <w:rsid w:val="00A57362"/>
    <w:rsid w:val="00A60C42"/>
    <w:rsid w:val="00A616CC"/>
    <w:rsid w:val="00A620E3"/>
    <w:rsid w:val="00A63529"/>
    <w:rsid w:val="00A641AD"/>
    <w:rsid w:val="00A6503C"/>
    <w:rsid w:val="00A65E2C"/>
    <w:rsid w:val="00A66043"/>
    <w:rsid w:val="00A663E1"/>
    <w:rsid w:val="00A67176"/>
    <w:rsid w:val="00A678F7"/>
    <w:rsid w:val="00A67F7D"/>
    <w:rsid w:val="00A70363"/>
    <w:rsid w:val="00A71432"/>
    <w:rsid w:val="00A72048"/>
    <w:rsid w:val="00A72B4B"/>
    <w:rsid w:val="00A75BAD"/>
    <w:rsid w:val="00A763E2"/>
    <w:rsid w:val="00A77054"/>
    <w:rsid w:val="00A77628"/>
    <w:rsid w:val="00A77FCB"/>
    <w:rsid w:val="00A80958"/>
    <w:rsid w:val="00A80E03"/>
    <w:rsid w:val="00A80FAD"/>
    <w:rsid w:val="00A81BD2"/>
    <w:rsid w:val="00A81E89"/>
    <w:rsid w:val="00A820E1"/>
    <w:rsid w:val="00A83875"/>
    <w:rsid w:val="00A84B7B"/>
    <w:rsid w:val="00A856A1"/>
    <w:rsid w:val="00A85F7D"/>
    <w:rsid w:val="00A87BB2"/>
    <w:rsid w:val="00A9101A"/>
    <w:rsid w:val="00A920F6"/>
    <w:rsid w:val="00A929B4"/>
    <w:rsid w:val="00A93726"/>
    <w:rsid w:val="00A938D0"/>
    <w:rsid w:val="00A938F7"/>
    <w:rsid w:val="00A93C56"/>
    <w:rsid w:val="00A94791"/>
    <w:rsid w:val="00A948C8"/>
    <w:rsid w:val="00A955A6"/>
    <w:rsid w:val="00A96639"/>
    <w:rsid w:val="00AA00BC"/>
    <w:rsid w:val="00AA23D4"/>
    <w:rsid w:val="00AA2546"/>
    <w:rsid w:val="00AA265A"/>
    <w:rsid w:val="00AA335F"/>
    <w:rsid w:val="00AA4456"/>
    <w:rsid w:val="00AA69CC"/>
    <w:rsid w:val="00AA72A0"/>
    <w:rsid w:val="00AA7483"/>
    <w:rsid w:val="00AA7886"/>
    <w:rsid w:val="00AB06AA"/>
    <w:rsid w:val="00AB2378"/>
    <w:rsid w:val="00AB24A8"/>
    <w:rsid w:val="00AB259E"/>
    <w:rsid w:val="00AB355F"/>
    <w:rsid w:val="00AB3658"/>
    <w:rsid w:val="00AB3B00"/>
    <w:rsid w:val="00AB3F38"/>
    <w:rsid w:val="00AB5A48"/>
    <w:rsid w:val="00AB6BE8"/>
    <w:rsid w:val="00AB6DBD"/>
    <w:rsid w:val="00AB6F0E"/>
    <w:rsid w:val="00AC0B41"/>
    <w:rsid w:val="00AC0B6D"/>
    <w:rsid w:val="00AC1D2D"/>
    <w:rsid w:val="00AC3BFD"/>
    <w:rsid w:val="00AC6D67"/>
    <w:rsid w:val="00AC76C6"/>
    <w:rsid w:val="00AD1207"/>
    <w:rsid w:val="00AD1D9B"/>
    <w:rsid w:val="00AD1DC7"/>
    <w:rsid w:val="00AD1F41"/>
    <w:rsid w:val="00AD254C"/>
    <w:rsid w:val="00AD3040"/>
    <w:rsid w:val="00AD59A2"/>
    <w:rsid w:val="00AD5A99"/>
    <w:rsid w:val="00AD6578"/>
    <w:rsid w:val="00AD69DE"/>
    <w:rsid w:val="00AE0068"/>
    <w:rsid w:val="00AE0B86"/>
    <w:rsid w:val="00AE219F"/>
    <w:rsid w:val="00AE253F"/>
    <w:rsid w:val="00AE28BD"/>
    <w:rsid w:val="00AE2F41"/>
    <w:rsid w:val="00AE34D5"/>
    <w:rsid w:val="00AE3B5D"/>
    <w:rsid w:val="00AE47C3"/>
    <w:rsid w:val="00AE4F31"/>
    <w:rsid w:val="00AE55AA"/>
    <w:rsid w:val="00AE6B59"/>
    <w:rsid w:val="00AE71CB"/>
    <w:rsid w:val="00AE7896"/>
    <w:rsid w:val="00AE7C8F"/>
    <w:rsid w:val="00AF053B"/>
    <w:rsid w:val="00AF126D"/>
    <w:rsid w:val="00AF175E"/>
    <w:rsid w:val="00AF1E7D"/>
    <w:rsid w:val="00AF22C3"/>
    <w:rsid w:val="00AF2452"/>
    <w:rsid w:val="00AF28A1"/>
    <w:rsid w:val="00AF4817"/>
    <w:rsid w:val="00AF547E"/>
    <w:rsid w:val="00AF54E1"/>
    <w:rsid w:val="00AF68FE"/>
    <w:rsid w:val="00AF6B9B"/>
    <w:rsid w:val="00AF6C34"/>
    <w:rsid w:val="00B01327"/>
    <w:rsid w:val="00B016A6"/>
    <w:rsid w:val="00B027D1"/>
    <w:rsid w:val="00B03FB4"/>
    <w:rsid w:val="00B05C97"/>
    <w:rsid w:val="00B072A7"/>
    <w:rsid w:val="00B10E45"/>
    <w:rsid w:val="00B12F59"/>
    <w:rsid w:val="00B13071"/>
    <w:rsid w:val="00B13501"/>
    <w:rsid w:val="00B14321"/>
    <w:rsid w:val="00B14FB3"/>
    <w:rsid w:val="00B15732"/>
    <w:rsid w:val="00B15AD6"/>
    <w:rsid w:val="00B15EE1"/>
    <w:rsid w:val="00B16EC1"/>
    <w:rsid w:val="00B1763D"/>
    <w:rsid w:val="00B17763"/>
    <w:rsid w:val="00B17E0D"/>
    <w:rsid w:val="00B22836"/>
    <w:rsid w:val="00B239DD"/>
    <w:rsid w:val="00B23BC3"/>
    <w:rsid w:val="00B23FD9"/>
    <w:rsid w:val="00B24617"/>
    <w:rsid w:val="00B249E3"/>
    <w:rsid w:val="00B25266"/>
    <w:rsid w:val="00B25517"/>
    <w:rsid w:val="00B26EBC"/>
    <w:rsid w:val="00B27383"/>
    <w:rsid w:val="00B314F2"/>
    <w:rsid w:val="00B31EE8"/>
    <w:rsid w:val="00B331A5"/>
    <w:rsid w:val="00B3370D"/>
    <w:rsid w:val="00B363C5"/>
    <w:rsid w:val="00B36895"/>
    <w:rsid w:val="00B36FC4"/>
    <w:rsid w:val="00B3773F"/>
    <w:rsid w:val="00B42D16"/>
    <w:rsid w:val="00B432EC"/>
    <w:rsid w:val="00B439C4"/>
    <w:rsid w:val="00B4470B"/>
    <w:rsid w:val="00B461F8"/>
    <w:rsid w:val="00B4646C"/>
    <w:rsid w:val="00B465E7"/>
    <w:rsid w:val="00B46D2B"/>
    <w:rsid w:val="00B502E9"/>
    <w:rsid w:val="00B5132F"/>
    <w:rsid w:val="00B521DF"/>
    <w:rsid w:val="00B528D3"/>
    <w:rsid w:val="00B52A70"/>
    <w:rsid w:val="00B546BA"/>
    <w:rsid w:val="00B55BCE"/>
    <w:rsid w:val="00B6015B"/>
    <w:rsid w:val="00B60D89"/>
    <w:rsid w:val="00B61189"/>
    <w:rsid w:val="00B611DC"/>
    <w:rsid w:val="00B618CB"/>
    <w:rsid w:val="00B6215A"/>
    <w:rsid w:val="00B63BDD"/>
    <w:rsid w:val="00B705A9"/>
    <w:rsid w:val="00B74105"/>
    <w:rsid w:val="00B74B58"/>
    <w:rsid w:val="00B74D1B"/>
    <w:rsid w:val="00B754C3"/>
    <w:rsid w:val="00B7619F"/>
    <w:rsid w:val="00B766D5"/>
    <w:rsid w:val="00B76EEB"/>
    <w:rsid w:val="00B80F4A"/>
    <w:rsid w:val="00B80F64"/>
    <w:rsid w:val="00B818A2"/>
    <w:rsid w:val="00B8219F"/>
    <w:rsid w:val="00B829B6"/>
    <w:rsid w:val="00B8354F"/>
    <w:rsid w:val="00B8396F"/>
    <w:rsid w:val="00B839EB"/>
    <w:rsid w:val="00B848CD"/>
    <w:rsid w:val="00B84E81"/>
    <w:rsid w:val="00B85BC9"/>
    <w:rsid w:val="00B868CC"/>
    <w:rsid w:val="00B86987"/>
    <w:rsid w:val="00B873C5"/>
    <w:rsid w:val="00B8752F"/>
    <w:rsid w:val="00B9091F"/>
    <w:rsid w:val="00B911A3"/>
    <w:rsid w:val="00B91649"/>
    <w:rsid w:val="00B9272A"/>
    <w:rsid w:val="00B93D5D"/>
    <w:rsid w:val="00B9472F"/>
    <w:rsid w:val="00B97443"/>
    <w:rsid w:val="00B97845"/>
    <w:rsid w:val="00B97F68"/>
    <w:rsid w:val="00BA0020"/>
    <w:rsid w:val="00BA0187"/>
    <w:rsid w:val="00BA0FC9"/>
    <w:rsid w:val="00BA13A2"/>
    <w:rsid w:val="00BA178F"/>
    <w:rsid w:val="00BA3E11"/>
    <w:rsid w:val="00BA4A72"/>
    <w:rsid w:val="00BB0AB6"/>
    <w:rsid w:val="00BB181D"/>
    <w:rsid w:val="00BB3108"/>
    <w:rsid w:val="00BB4960"/>
    <w:rsid w:val="00BB7AF2"/>
    <w:rsid w:val="00BC09A6"/>
    <w:rsid w:val="00BC1DD8"/>
    <w:rsid w:val="00BC423D"/>
    <w:rsid w:val="00BC4262"/>
    <w:rsid w:val="00BC57FC"/>
    <w:rsid w:val="00BC5C40"/>
    <w:rsid w:val="00BC7DB7"/>
    <w:rsid w:val="00BD011F"/>
    <w:rsid w:val="00BD0FFB"/>
    <w:rsid w:val="00BD3158"/>
    <w:rsid w:val="00BD425B"/>
    <w:rsid w:val="00BD440C"/>
    <w:rsid w:val="00BD59AF"/>
    <w:rsid w:val="00BD60C2"/>
    <w:rsid w:val="00BD60D1"/>
    <w:rsid w:val="00BD6DE3"/>
    <w:rsid w:val="00BD7135"/>
    <w:rsid w:val="00BE07BF"/>
    <w:rsid w:val="00BE0915"/>
    <w:rsid w:val="00BE0F23"/>
    <w:rsid w:val="00BE18EB"/>
    <w:rsid w:val="00BE4D58"/>
    <w:rsid w:val="00BE514F"/>
    <w:rsid w:val="00BE532B"/>
    <w:rsid w:val="00BE639E"/>
    <w:rsid w:val="00BE6441"/>
    <w:rsid w:val="00BE7B33"/>
    <w:rsid w:val="00BF06E4"/>
    <w:rsid w:val="00BF0889"/>
    <w:rsid w:val="00BF4271"/>
    <w:rsid w:val="00BF4FB2"/>
    <w:rsid w:val="00BF51C9"/>
    <w:rsid w:val="00BF533E"/>
    <w:rsid w:val="00BF6B8F"/>
    <w:rsid w:val="00C00BF7"/>
    <w:rsid w:val="00C010AA"/>
    <w:rsid w:val="00C02AA6"/>
    <w:rsid w:val="00C03590"/>
    <w:rsid w:val="00C03B6C"/>
    <w:rsid w:val="00C04160"/>
    <w:rsid w:val="00C047F2"/>
    <w:rsid w:val="00C04DDA"/>
    <w:rsid w:val="00C057AC"/>
    <w:rsid w:val="00C06776"/>
    <w:rsid w:val="00C0681B"/>
    <w:rsid w:val="00C06C70"/>
    <w:rsid w:val="00C07370"/>
    <w:rsid w:val="00C075D0"/>
    <w:rsid w:val="00C07994"/>
    <w:rsid w:val="00C103D9"/>
    <w:rsid w:val="00C12572"/>
    <w:rsid w:val="00C144A0"/>
    <w:rsid w:val="00C146E7"/>
    <w:rsid w:val="00C16D40"/>
    <w:rsid w:val="00C204A0"/>
    <w:rsid w:val="00C20CD9"/>
    <w:rsid w:val="00C217AA"/>
    <w:rsid w:val="00C219A0"/>
    <w:rsid w:val="00C223EB"/>
    <w:rsid w:val="00C23359"/>
    <w:rsid w:val="00C234A7"/>
    <w:rsid w:val="00C24106"/>
    <w:rsid w:val="00C24644"/>
    <w:rsid w:val="00C24CE2"/>
    <w:rsid w:val="00C24E38"/>
    <w:rsid w:val="00C2628E"/>
    <w:rsid w:val="00C263FF"/>
    <w:rsid w:val="00C321EA"/>
    <w:rsid w:val="00C32389"/>
    <w:rsid w:val="00C32918"/>
    <w:rsid w:val="00C32AE3"/>
    <w:rsid w:val="00C32BAA"/>
    <w:rsid w:val="00C34117"/>
    <w:rsid w:val="00C354F2"/>
    <w:rsid w:val="00C35909"/>
    <w:rsid w:val="00C36410"/>
    <w:rsid w:val="00C3668A"/>
    <w:rsid w:val="00C3764D"/>
    <w:rsid w:val="00C4208C"/>
    <w:rsid w:val="00C4263B"/>
    <w:rsid w:val="00C43297"/>
    <w:rsid w:val="00C43368"/>
    <w:rsid w:val="00C4337C"/>
    <w:rsid w:val="00C43C30"/>
    <w:rsid w:val="00C448F1"/>
    <w:rsid w:val="00C44C15"/>
    <w:rsid w:val="00C47C98"/>
    <w:rsid w:val="00C47D46"/>
    <w:rsid w:val="00C5031F"/>
    <w:rsid w:val="00C50885"/>
    <w:rsid w:val="00C52120"/>
    <w:rsid w:val="00C52ECB"/>
    <w:rsid w:val="00C53708"/>
    <w:rsid w:val="00C54BFC"/>
    <w:rsid w:val="00C56C42"/>
    <w:rsid w:val="00C57BF5"/>
    <w:rsid w:val="00C60E3C"/>
    <w:rsid w:val="00C61320"/>
    <w:rsid w:val="00C635FD"/>
    <w:rsid w:val="00C63690"/>
    <w:rsid w:val="00C639A7"/>
    <w:rsid w:val="00C63EE8"/>
    <w:rsid w:val="00C641C9"/>
    <w:rsid w:val="00C668D5"/>
    <w:rsid w:val="00C67506"/>
    <w:rsid w:val="00C72980"/>
    <w:rsid w:val="00C740B4"/>
    <w:rsid w:val="00C749E6"/>
    <w:rsid w:val="00C74CFE"/>
    <w:rsid w:val="00C75CBA"/>
    <w:rsid w:val="00C75DB8"/>
    <w:rsid w:val="00C77D2E"/>
    <w:rsid w:val="00C80648"/>
    <w:rsid w:val="00C807B6"/>
    <w:rsid w:val="00C81A8E"/>
    <w:rsid w:val="00C83A70"/>
    <w:rsid w:val="00C83B2F"/>
    <w:rsid w:val="00C84F12"/>
    <w:rsid w:val="00C85B6B"/>
    <w:rsid w:val="00C86776"/>
    <w:rsid w:val="00C86E92"/>
    <w:rsid w:val="00C86EF8"/>
    <w:rsid w:val="00C904EE"/>
    <w:rsid w:val="00C911C6"/>
    <w:rsid w:val="00C91352"/>
    <w:rsid w:val="00C91AEA"/>
    <w:rsid w:val="00C92A57"/>
    <w:rsid w:val="00C932BF"/>
    <w:rsid w:val="00C93C19"/>
    <w:rsid w:val="00C93D62"/>
    <w:rsid w:val="00C94DD8"/>
    <w:rsid w:val="00C94FF6"/>
    <w:rsid w:val="00C96F01"/>
    <w:rsid w:val="00C97745"/>
    <w:rsid w:val="00CA05C1"/>
    <w:rsid w:val="00CA0EBE"/>
    <w:rsid w:val="00CA0FF2"/>
    <w:rsid w:val="00CA24D4"/>
    <w:rsid w:val="00CA2F76"/>
    <w:rsid w:val="00CA4763"/>
    <w:rsid w:val="00CA6114"/>
    <w:rsid w:val="00CA6E01"/>
    <w:rsid w:val="00CA7914"/>
    <w:rsid w:val="00CB3092"/>
    <w:rsid w:val="00CC051C"/>
    <w:rsid w:val="00CC0614"/>
    <w:rsid w:val="00CC076C"/>
    <w:rsid w:val="00CC090C"/>
    <w:rsid w:val="00CC09AB"/>
    <w:rsid w:val="00CC0C60"/>
    <w:rsid w:val="00CC1BFB"/>
    <w:rsid w:val="00CC1DE7"/>
    <w:rsid w:val="00CC2420"/>
    <w:rsid w:val="00CC2B02"/>
    <w:rsid w:val="00CC43D7"/>
    <w:rsid w:val="00CC4481"/>
    <w:rsid w:val="00CC4C03"/>
    <w:rsid w:val="00CC57A0"/>
    <w:rsid w:val="00CC5808"/>
    <w:rsid w:val="00CC6156"/>
    <w:rsid w:val="00CD0E6A"/>
    <w:rsid w:val="00CD5BED"/>
    <w:rsid w:val="00CD61C2"/>
    <w:rsid w:val="00CE0F52"/>
    <w:rsid w:val="00CE1C1E"/>
    <w:rsid w:val="00CE36F6"/>
    <w:rsid w:val="00CE3BDF"/>
    <w:rsid w:val="00CE5E9E"/>
    <w:rsid w:val="00CE62FA"/>
    <w:rsid w:val="00CE7D98"/>
    <w:rsid w:val="00CF07BB"/>
    <w:rsid w:val="00CF14B4"/>
    <w:rsid w:val="00CF169A"/>
    <w:rsid w:val="00CF3FDA"/>
    <w:rsid w:val="00D00316"/>
    <w:rsid w:val="00D01511"/>
    <w:rsid w:val="00D03980"/>
    <w:rsid w:val="00D044C1"/>
    <w:rsid w:val="00D05159"/>
    <w:rsid w:val="00D06091"/>
    <w:rsid w:val="00D06B7C"/>
    <w:rsid w:val="00D07B8E"/>
    <w:rsid w:val="00D10A83"/>
    <w:rsid w:val="00D10BC5"/>
    <w:rsid w:val="00D11B59"/>
    <w:rsid w:val="00D125B6"/>
    <w:rsid w:val="00D12F6E"/>
    <w:rsid w:val="00D136AE"/>
    <w:rsid w:val="00D13951"/>
    <w:rsid w:val="00D13D85"/>
    <w:rsid w:val="00D14E01"/>
    <w:rsid w:val="00D15173"/>
    <w:rsid w:val="00D15DC1"/>
    <w:rsid w:val="00D1693B"/>
    <w:rsid w:val="00D1729B"/>
    <w:rsid w:val="00D17307"/>
    <w:rsid w:val="00D205D5"/>
    <w:rsid w:val="00D24BF1"/>
    <w:rsid w:val="00D24D32"/>
    <w:rsid w:val="00D25830"/>
    <w:rsid w:val="00D272CC"/>
    <w:rsid w:val="00D300B9"/>
    <w:rsid w:val="00D32FCC"/>
    <w:rsid w:val="00D330C4"/>
    <w:rsid w:val="00D331A5"/>
    <w:rsid w:val="00D333E8"/>
    <w:rsid w:val="00D33A0E"/>
    <w:rsid w:val="00D35F50"/>
    <w:rsid w:val="00D3762C"/>
    <w:rsid w:val="00D40AA1"/>
    <w:rsid w:val="00D42C49"/>
    <w:rsid w:val="00D44B25"/>
    <w:rsid w:val="00D4567E"/>
    <w:rsid w:val="00D46B9F"/>
    <w:rsid w:val="00D46BDB"/>
    <w:rsid w:val="00D46DC1"/>
    <w:rsid w:val="00D47105"/>
    <w:rsid w:val="00D47A29"/>
    <w:rsid w:val="00D47BF2"/>
    <w:rsid w:val="00D50123"/>
    <w:rsid w:val="00D51735"/>
    <w:rsid w:val="00D52437"/>
    <w:rsid w:val="00D52C74"/>
    <w:rsid w:val="00D52D14"/>
    <w:rsid w:val="00D534F9"/>
    <w:rsid w:val="00D54F37"/>
    <w:rsid w:val="00D57AA0"/>
    <w:rsid w:val="00D60C87"/>
    <w:rsid w:val="00D61A73"/>
    <w:rsid w:val="00D639F6"/>
    <w:rsid w:val="00D64069"/>
    <w:rsid w:val="00D64287"/>
    <w:rsid w:val="00D6436E"/>
    <w:rsid w:val="00D6678D"/>
    <w:rsid w:val="00D66CD4"/>
    <w:rsid w:val="00D703B2"/>
    <w:rsid w:val="00D71416"/>
    <w:rsid w:val="00D7171B"/>
    <w:rsid w:val="00D71B71"/>
    <w:rsid w:val="00D742D5"/>
    <w:rsid w:val="00D74770"/>
    <w:rsid w:val="00D74933"/>
    <w:rsid w:val="00D762FC"/>
    <w:rsid w:val="00D77788"/>
    <w:rsid w:val="00D81027"/>
    <w:rsid w:val="00D81B24"/>
    <w:rsid w:val="00D8408C"/>
    <w:rsid w:val="00D84909"/>
    <w:rsid w:val="00D853D4"/>
    <w:rsid w:val="00D90BDD"/>
    <w:rsid w:val="00D90C1F"/>
    <w:rsid w:val="00D94CE7"/>
    <w:rsid w:val="00D95550"/>
    <w:rsid w:val="00D97990"/>
    <w:rsid w:val="00DA15CC"/>
    <w:rsid w:val="00DA18D1"/>
    <w:rsid w:val="00DA1D62"/>
    <w:rsid w:val="00DA1EAA"/>
    <w:rsid w:val="00DA1F61"/>
    <w:rsid w:val="00DA215F"/>
    <w:rsid w:val="00DA2A99"/>
    <w:rsid w:val="00DA3196"/>
    <w:rsid w:val="00DA4661"/>
    <w:rsid w:val="00DA5945"/>
    <w:rsid w:val="00DA6350"/>
    <w:rsid w:val="00DB0BAB"/>
    <w:rsid w:val="00DB273B"/>
    <w:rsid w:val="00DB6520"/>
    <w:rsid w:val="00DB6DFC"/>
    <w:rsid w:val="00DC0CD2"/>
    <w:rsid w:val="00DC2911"/>
    <w:rsid w:val="00DC3FBE"/>
    <w:rsid w:val="00DC543E"/>
    <w:rsid w:val="00DC5467"/>
    <w:rsid w:val="00DC5BE1"/>
    <w:rsid w:val="00DC75DE"/>
    <w:rsid w:val="00DC7693"/>
    <w:rsid w:val="00DD01E3"/>
    <w:rsid w:val="00DD09E0"/>
    <w:rsid w:val="00DD11C9"/>
    <w:rsid w:val="00DD181C"/>
    <w:rsid w:val="00DD1CAB"/>
    <w:rsid w:val="00DD260D"/>
    <w:rsid w:val="00DD2FF2"/>
    <w:rsid w:val="00DD41B2"/>
    <w:rsid w:val="00DD47E3"/>
    <w:rsid w:val="00DD7BCC"/>
    <w:rsid w:val="00DE0D5D"/>
    <w:rsid w:val="00DE1921"/>
    <w:rsid w:val="00DE1D22"/>
    <w:rsid w:val="00DE2382"/>
    <w:rsid w:val="00DE4123"/>
    <w:rsid w:val="00DE6416"/>
    <w:rsid w:val="00DE6644"/>
    <w:rsid w:val="00DE6CFC"/>
    <w:rsid w:val="00DE7335"/>
    <w:rsid w:val="00DF1506"/>
    <w:rsid w:val="00DF212C"/>
    <w:rsid w:val="00DF3929"/>
    <w:rsid w:val="00DF4ACD"/>
    <w:rsid w:val="00DF525C"/>
    <w:rsid w:val="00DF5706"/>
    <w:rsid w:val="00DF5EAF"/>
    <w:rsid w:val="00DF636B"/>
    <w:rsid w:val="00DF6459"/>
    <w:rsid w:val="00DF6947"/>
    <w:rsid w:val="00DF6D94"/>
    <w:rsid w:val="00DF6E06"/>
    <w:rsid w:val="00E00A23"/>
    <w:rsid w:val="00E00F96"/>
    <w:rsid w:val="00E027B9"/>
    <w:rsid w:val="00E03910"/>
    <w:rsid w:val="00E039E7"/>
    <w:rsid w:val="00E03D98"/>
    <w:rsid w:val="00E04579"/>
    <w:rsid w:val="00E0474A"/>
    <w:rsid w:val="00E04928"/>
    <w:rsid w:val="00E05857"/>
    <w:rsid w:val="00E0639F"/>
    <w:rsid w:val="00E064D2"/>
    <w:rsid w:val="00E109AA"/>
    <w:rsid w:val="00E10B49"/>
    <w:rsid w:val="00E115B0"/>
    <w:rsid w:val="00E11F06"/>
    <w:rsid w:val="00E122EC"/>
    <w:rsid w:val="00E12471"/>
    <w:rsid w:val="00E13EED"/>
    <w:rsid w:val="00E15E91"/>
    <w:rsid w:val="00E2159F"/>
    <w:rsid w:val="00E224F1"/>
    <w:rsid w:val="00E23F1E"/>
    <w:rsid w:val="00E244C3"/>
    <w:rsid w:val="00E246B7"/>
    <w:rsid w:val="00E25005"/>
    <w:rsid w:val="00E25A8C"/>
    <w:rsid w:val="00E25C11"/>
    <w:rsid w:val="00E266E1"/>
    <w:rsid w:val="00E2724E"/>
    <w:rsid w:val="00E275E3"/>
    <w:rsid w:val="00E3117F"/>
    <w:rsid w:val="00E313BB"/>
    <w:rsid w:val="00E31528"/>
    <w:rsid w:val="00E31F57"/>
    <w:rsid w:val="00E324F9"/>
    <w:rsid w:val="00E3429F"/>
    <w:rsid w:val="00E34820"/>
    <w:rsid w:val="00E34D81"/>
    <w:rsid w:val="00E377E9"/>
    <w:rsid w:val="00E37C25"/>
    <w:rsid w:val="00E37E01"/>
    <w:rsid w:val="00E37F22"/>
    <w:rsid w:val="00E40AC7"/>
    <w:rsid w:val="00E40B03"/>
    <w:rsid w:val="00E41196"/>
    <w:rsid w:val="00E41E22"/>
    <w:rsid w:val="00E50001"/>
    <w:rsid w:val="00E50ADC"/>
    <w:rsid w:val="00E51CB3"/>
    <w:rsid w:val="00E51DBB"/>
    <w:rsid w:val="00E52B15"/>
    <w:rsid w:val="00E61A89"/>
    <w:rsid w:val="00E620E7"/>
    <w:rsid w:val="00E626C3"/>
    <w:rsid w:val="00E62D78"/>
    <w:rsid w:val="00E63048"/>
    <w:rsid w:val="00E63160"/>
    <w:rsid w:val="00E631D9"/>
    <w:rsid w:val="00E63261"/>
    <w:rsid w:val="00E64069"/>
    <w:rsid w:val="00E642E5"/>
    <w:rsid w:val="00E6647C"/>
    <w:rsid w:val="00E67969"/>
    <w:rsid w:val="00E67DC5"/>
    <w:rsid w:val="00E71940"/>
    <w:rsid w:val="00E73014"/>
    <w:rsid w:val="00E737E2"/>
    <w:rsid w:val="00E7388B"/>
    <w:rsid w:val="00E7450B"/>
    <w:rsid w:val="00E75063"/>
    <w:rsid w:val="00E75762"/>
    <w:rsid w:val="00E75D50"/>
    <w:rsid w:val="00E7770D"/>
    <w:rsid w:val="00E77E97"/>
    <w:rsid w:val="00E82B2A"/>
    <w:rsid w:val="00E82C8E"/>
    <w:rsid w:val="00E82D1F"/>
    <w:rsid w:val="00E837F5"/>
    <w:rsid w:val="00E83AD4"/>
    <w:rsid w:val="00E83CE2"/>
    <w:rsid w:val="00E84941"/>
    <w:rsid w:val="00E84B07"/>
    <w:rsid w:val="00E84B6D"/>
    <w:rsid w:val="00E85364"/>
    <w:rsid w:val="00E86C46"/>
    <w:rsid w:val="00E8737D"/>
    <w:rsid w:val="00E91D08"/>
    <w:rsid w:val="00E93162"/>
    <w:rsid w:val="00E93948"/>
    <w:rsid w:val="00E93B25"/>
    <w:rsid w:val="00E9464C"/>
    <w:rsid w:val="00E94805"/>
    <w:rsid w:val="00E97ABE"/>
    <w:rsid w:val="00E97C40"/>
    <w:rsid w:val="00EA0196"/>
    <w:rsid w:val="00EA1D97"/>
    <w:rsid w:val="00EA1EAD"/>
    <w:rsid w:val="00EA58CB"/>
    <w:rsid w:val="00EB1402"/>
    <w:rsid w:val="00EB1BC7"/>
    <w:rsid w:val="00EB2761"/>
    <w:rsid w:val="00EB3517"/>
    <w:rsid w:val="00EB42F4"/>
    <w:rsid w:val="00EB600F"/>
    <w:rsid w:val="00EB769B"/>
    <w:rsid w:val="00EB7925"/>
    <w:rsid w:val="00EC085F"/>
    <w:rsid w:val="00EC120E"/>
    <w:rsid w:val="00EC179F"/>
    <w:rsid w:val="00EC1EDA"/>
    <w:rsid w:val="00EC4757"/>
    <w:rsid w:val="00EC49AD"/>
    <w:rsid w:val="00EC49B4"/>
    <w:rsid w:val="00EC58D1"/>
    <w:rsid w:val="00EC5E6D"/>
    <w:rsid w:val="00EC66DC"/>
    <w:rsid w:val="00EC7A43"/>
    <w:rsid w:val="00ED034C"/>
    <w:rsid w:val="00ED0AB3"/>
    <w:rsid w:val="00ED1D99"/>
    <w:rsid w:val="00ED1F18"/>
    <w:rsid w:val="00ED2B39"/>
    <w:rsid w:val="00ED2D66"/>
    <w:rsid w:val="00ED48D2"/>
    <w:rsid w:val="00ED4A41"/>
    <w:rsid w:val="00EE051A"/>
    <w:rsid w:val="00EE082B"/>
    <w:rsid w:val="00EE11F3"/>
    <w:rsid w:val="00EE2326"/>
    <w:rsid w:val="00EE247C"/>
    <w:rsid w:val="00EE270E"/>
    <w:rsid w:val="00EE30FB"/>
    <w:rsid w:val="00EE34E3"/>
    <w:rsid w:val="00EE383D"/>
    <w:rsid w:val="00EE41C4"/>
    <w:rsid w:val="00EE556B"/>
    <w:rsid w:val="00EE6166"/>
    <w:rsid w:val="00EE6CAA"/>
    <w:rsid w:val="00EF01EA"/>
    <w:rsid w:val="00EF0CB2"/>
    <w:rsid w:val="00EF15B8"/>
    <w:rsid w:val="00EF2136"/>
    <w:rsid w:val="00EF467F"/>
    <w:rsid w:val="00EF4DCF"/>
    <w:rsid w:val="00EF5F1B"/>
    <w:rsid w:val="00EF5F7B"/>
    <w:rsid w:val="00EF6C2A"/>
    <w:rsid w:val="00EF7110"/>
    <w:rsid w:val="00EF7B92"/>
    <w:rsid w:val="00EF7C3F"/>
    <w:rsid w:val="00F0081F"/>
    <w:rsid w:val="00F0143F"/>
    <w:rsid w:val="00F01C23"/>
    <w:rsid w:val="00F049AD"/>
    <w:rsid w:val="00F0628B"/>
    <w:rsid w:val="00F0702E"/>
    <w:rsid w:val="00F07BA4"/>
    <w:rsid w:val="00F07F39"/>
    <w:rsid w:val="00F11BE1"/>
    <w:rsid w:val="00F12590"/>
    <w:rsid w:val="00F13B0E"/>
    <w:rsid w:val="00F13B9F"/>
    <w:rsid w:val="00F13D0C"/>
    <w:rsid w:val="00F14D9F"/>
    <w:rsid w:val="00F1588C"/>
    <w:rsid w:val="00F16610"/>
    <w:rsid w:val="00F17A3F"/>
    <w:rsid w:val="00F207AB"/>
    <w:rsid w:val="00F21299"/>
    <w:rsid w:val="00F22810"/>
    <w:rsid w:val="00F22A5F"/>
    <w:rsid w:val="00F23D02"/>
    <w:rsid w:val="00F23F38"/>
    <w:rsid w:val="00F24282"/>
    <w:rsid w:val="00F24744"/>
    <w:rsid w:val="00F24B8D"/>
    <w:rsid w:val="00F25446"/>
    <w:rsid w:val="00F25F9D"/>
    <w:rsid w:val="00F267EA"/>
    <w:rsid w:val="00F26920"/>
    <w:rsid w:val="00F276C9"/>
    <w:rsid w:val="00F27ED4"/>
    <w:rsid w:val="00F31100"/>
    <w:rsid w:val="00F313D2"/>
    <w:rsid w:val="00F3140D"/>
    <w:rsid w:val="00F321FD"/>
    <w:rsid w:val="00F326D4"/>
    <w:rsid w:val="00F333F3"/>
    <w:rsid w:val="00F33DC5"/>
    <w:rsid w:val="00F33E58"/>
    <w:rsid w:val="00F34133"/>
    <w:rsid w:val="00F3437A"/>
    <w:rsid w:val="00F34C17"/>
    <w:rsid w:val="00F3564B"/>
    <w:rsid w:val="00F35AE6"/>
    <w:rsid w:val="00F35B1C"/>
    <w:rsid w:val="00F365F5"/>
    <w:rsid w:val="00F36E76"/>
    <w:rsid w:val="00F374B0"/>
    <w:rsid w:val="00F4236A"/>
    <w:rsid w:val="00F42809"/>
    <w:rsid w:val="00F432A2"/>
    <w:rsid w:val="00F4472E"/>
    <w:rsid w:val="00F45213"/>
    <w:rsid w:val="00F468A9"/>
    <w:rsid w:val="00F4780D"/>
    <w:rsid w:val="00F506C1"/>
    <w:rsid w:val="00F512AB"/>
    <w:rsid w:val="00F51813"/>
    <w:rsid w:val="00F52AF0"/>
    <w:rsid w:val="00F52FC1"/>
    <w:rsid w:val="00F54494"/>
    <w:rsid w:val="00F54ABA"/>
    <w:rsid w:val="00F54F28"/>
    <w:rsid w:val="00F559E3"/>
    <w:rsid w:val="00F56A77"/>
    <w:rsid w:val="00F576D2"/>
    <w:rsid w:val="00F60919"/>
    <w:rsid w:val="00F60F71"/>
    <w:rsid w:val="00F6120B"/>
    <w:rsid w:val="00F615AA"/>
    <w:rsid w:val="00F61DAD"/>
    <w:rsid w:val="00F61F81"/>
    <w:rsid w:val="00F62BC6"/>
    <w:rsid w:val="00F636EB"/>
    <w:rsid w:val="00F6419B"/>
    <w:rsid w:val="00F64CB3"/>
    <w:rsid w:val="00F65035"/>
    <w:rsid w:val="00F65092"/>
    <w:rsid w:val="00F654C1"/>
    <w:rsid w:val="00F67915"/>
    <w:rsid w:val="00F67985"/>
    <w:rsid w:val="00F702EC"/>
    <w:rsid w:val="00F7049B"/>
    <w:rsid w:val="00F706C5"/>
    <w:rsid w:val="00F71DFB"/>
    <w:rsid w:val="00F727DD"/>
    <w:rsid w:val="00F728C0"/>
    <w:rsid w:val="00F72B4B"/>
    <w:rsid w:val="00F73627"/>
    <w:rsid w:val="00F73B1F"/>
    <w:rsid w:val="00F740C6"/>
    <w:rsid w:val="00F7472E"/>
    <w:rsid w:val="00F80507"/>
    <w:rsid w:val="00F808D4"/>
    <w:rsid w:val="00F8194D"/>
    <w:rsid w:val="00F82026"/>
    <w:rsid w:val="00F822C5"/>
    <w:rsid w:val="00F82886"/>
    <w:rsid w:val="00F82EF5"/>
    <w:rsid w:val="00F830A4"/>
    <w:rsid w:val="00F83447"/>
    <w:rsid w:val="00F83711"/>
    <w:rsid w:val="00F8545B"/>
    <w:rsid w:val="00F8599E"/>
    <w:rsid w:val="00F869A9"/>
    <w:rsid w:val="00F90537"/>
    <w:rsid w:val="00F90E5A"/>
    <w:rsid w:val="00F91219"/>
    <w:rsid w:val="00F91522"/>
    <w:rsid w:val="00F91927"/>
    <w:rsid w:val="00F91A25"/>
    <w:rsid w:val="00F91CE1"/>
    <w:rsid w:val="00F930C6"/>
    <w:rsid w:val="00F9343B"/>
    <w:rsid w:val="00F93A68"/>
    <w:rsid w:val="00F96CCD"/>
    <w:rsid w:val="00F96D98"/>
    <w:rsid w:val="00F97677"/>
    <w:rsid w:val="00FA0551"/>
    <w:rsid w:val="00FA0A71"/>
    <w:rsid w:val="00FA115E"/>
    <w:rsid w:val="00FA15F8"/>
    <w:rsid w:val="00FA1898"/>
    <w:rsid w:val="00FA198C"/>
    <w:rsid w:val="00FA4359"/>
    <w:rsid w:val="00FA4A3F"/>
    <w:rsid w:val="00FA60BC"/>
    <w:rsid w:val="00FA68EC"/>
    <w:rsid w:val="00FA7C9A"/>
    <w:rsid w:val="00FB0DFE"/>
    <w:rsid w:val="00FB1965"/>
    <w:rsid w:val="00FB1C89"/>
    <w:rsid w:val="00FB22BF"/>
    <w:rsid w:val="00FB3288"/>
    <w:rsid w:val="00FB38B6"/>
    <w:rsid w:val="00FB3DAE"/>
    <w:rsid w:val="00FB3F65"/>
    <w:rsid w:val="00FB67FC"/>
    <w:rsid w:val="00FB7C6C"/>
    <w:rsid w:val="00FB7F78"/>
    <w:rsid w:val="00FC005A"/>
    <w:rsid w:val="00FC01C2"/>
    <w:rsid w:val="00FC1101"/>
    <w:rsid w:val="00FC12B2"/>
    <w:rsid w:val="00FC2BA9"/>
    <w:rsid w:val="00FC5E94"/>
    <w:rsid w:val="00FC6030"/>
    <w:rsid w:val="00FC703B"/>
    <w:rsid w:val="00FC71CC"/>
    <w:rsid w:val="00FD1111"/>
    <w:rsid w:val="00FD1AB9"/>
    <w:rsid w:val="00FD2E6E"/>
    <w:rsid w:val="00FD3A5B"/>
    <w:rsid w:val="00FD565C"/>
    <w:rsid w:val="00FD5C7E"/>
    <w:rsid w:val="00FD67B2"/>
    <w:rsid w:val="00FD775F"/>
    <w:rsid w:val="00FD783D"/>
    <w:rsid w:val="00FD7CE3"/>
    <w:rsid w:val="00FE2E27"/>
    <w:rsid w:val="00FE3A3E"/>
    <w:rsid w:val="00FE48CC"/>
    <w:rsid w:val="00FE55C8"/>
    <w:rsid w:val="00FE588D"/>
    <w:rsid w:val="00FE7AE6"/>
    <w:rsid w:val="00FE7CB0"/>
    <w:rsid w:val="00FF0303"/>
    <w:rsid w:val="00FF0324"/>
    <w:rsid w:val="00FF0C36"/>
    <w:rsid w:val="00FF0FD6"/>
    <w:rsid w:val="00FF1025"/>
    <w:rsid w:val="00FF18D0"/>
    <w:rsid w:val="00FF20AD"/>
    <w:rsid w:val="00FF28A1"/>
    <w:rsid w:val="00FF28AB"/>
    <w:rsid w:val="00FF3923"/>
    <w:rsid w:val="00FF5739"/>
    <w:rsid w:val="00FF5AFF"/>
    <w:rsid w:val="00FF5B77"/>
    <w:rsid w:val="00FF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4AEB"/>
  <w15:docId w15:val="{5035C610-9226-4697-8306-6DDD2FCD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89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Naslov1">
    <w:name w:val="heading 1"/>
    <w:basedOn w:val="Normal"/>
    <w:next w:val="Normal"/>
    <w:link w:val="Naslov1Char"/>
    <w:qFormat/>
    <w:rsid w:val="00695A9D"/>
    <w:pPr>
      <w:keepNext/>
      <w:suppressAutoHyphens w:val="0"/>
      <w:outlineLvl w:val="0"/>
    </w:pPr>
    <w:rPr>
      <w:rFonts w:cs="Times New Roman"/>
      <w:sz w:val="24"/>
      <w:lang w:val="x-none" w:eastAsia="x-none"/>
    </w:rPr>
  </w:style>
  <w:style w:type="paragraph" w:styleId="Naslov2">
    <w:name w:val="heading 2"/>
    <w:basedOn w:val="Normal"/>
    <w:next w:val="Normal"/>
    <w:link w:val="Naslov2Char"/>
    <w:qFormat/>
    <w:rsid w:val="00695A9D"/>
    <w:pPr>
      <w:keepNext/>
      <w:suppressAutoHyphens w:val="0"/>
      <w:ind w:left="4320"/>
      <w:jc w:val="center"/>
      <w:outlineLvl w:val="1"/>
    </w:pPr>
    <w:rPr>
      <w:rFonts w:cs="Times New Roman"/>
      <w:b/>
      <w:sz w:val="24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695A9D"/>
    <w:pPr>
      <w:keepNext/>
      <w:suppressAutoHyphens w:val="0"/>
      <w:outlineLvl w:val="2"/>
    </w:pPr>
    <w:rPr>
      <w:rFonts w:cs="Times New Roman"/>
      <w:b/>
      <w:sz w:val="24"/>
      <w:lang w:val="x-none" w:eastAsia="x-none"/>
    </w:rPr>
  </w:style>
  <w:style w:type="paragraph" w:styleId="Naslov4">
    <w:name w:val="heading 4"/>
    <w:basedOn w:val="Normal"/>
    <w:next w:val="Normal"/>
    <w:link w:val="Naslov4Char"/>
    <w:uiPriority w:val="9"/>
    <w:qFormat/>
    <w:rsid w:val="00695A9D"/>
    <w:pPr>
      <w:keepNext/>
      <w:keepLines/>
      <w:suppressAutoHyphens w:val="0"/>
      <w:spacing w:before="200"/>
      <w:outlineLvl w:val="3"/>
    </w:pPr>
    <w:rPr>
      <w:rFonts w:ascii="Cambria" w:hAnsi="Cambria" w:cs="Times New Roman"/>
      <w:b/>
      <w:bCs/>
      <w:i/>
      <w:iCs/>
      <w:color w:val="4F81BD"/>
      <w:lang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ijeloteksta21">
    <w:name w:val="Tijelo teksta 21"/>
    <w:basedOn w:val="Normal"/>
    <w:rsid w:val="0023114A"/>
    <w:pPr>
      <w:jc w:val="both"/>
    </w:pPr>
    <w:rPr>
      <w:sz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23114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3114A"/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Podnoje">
    <w:name w:val="footer"/>
    <w:basedOn w:val="Normal"/>
    <w:link w:val="PodnojeChar"/>
    <w:uiPriority w:val="99"/>
    <w:unhideWhenUsed/>
    <w:rsid w:val="0023114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3114A"/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307D7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C12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0E"/>
    <w:rPr>
      <w:rFonts w:ascii="Tahoma" w:eastAsia="Times New Roman" w:hAnsi="Tahoma" w:cs="Tahoma"/>
      <w:sz w:val="16"/>
      <w:szCs w:val="16"/>
      <w:lang w:val="en-GB" w:eastAsia="ar-SA"/>
    </w:rPr>
  </w:style>
  <w:style w:type="paragraph" w:styleId="Bezproreda">
    <w:name w:val="No Spacing"/>
    <w:link w:val="BezproredaChar"/>
    <w:uiPriority w:val="1"/>
    <w:qFormat/>
    <w:rsid w:val="00207CE8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F13B9F"/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13B9F"/>
    <w:rPr>
      <w:rFonts w:ascii="Times New Roman" w:eastAsia="Times New Roman" w:hAnsi="Times New Roman" w:cs="Calibri"/>
      <w:sz w:val="20"/>
      <w:szCs w:val="20"/>
      <w:lang w:val="en-GB" w:eastAsia="ar-SA"/>
    </w:rPr>
  </w:style>
  <w:style w:type="character" w:styleId="Referencafusnote">
    <w:name w:val="footnote reference"/>
    <w:basedOn w:val="Zadanifontodlomka"/>
    <w:uiPriority w:val="99"/>
    <w:semiHidden/>
    <w:unhideWhenUsed/>
    <w:rsid w:val="00F13B9F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B36FC4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B36FC4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B36FC4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hr-HR" w:eastAsia="hr-HR"/>
    </w:rPr>
  </w:style>
  <w:style w:type="paragraph" w:styleId="StandardWeb">
    <w:name w:val="Normal (Web)"/>
    <w:basedOn w:val="Normal"/>
    <w:uiPriority w:val="99"/>
    <w:unhideWhenUsed/>
    <w:rsid w:val="00B36FC4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hr-HR" w:eastAsia="hr-HR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6FC4"/>
    <w:pPr>
      <w:suppressAutoHyphens w:val="0"/>
    </w:pPr>
    <w:rPr>
      <w:rFonts w:cs="Times New Roman"/>
      <w:lang w:val="hr-HR"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36FC4"/>
    <w:rPr>
      <w:rFonts w:ascii="Times New Roman" w:eastAsia="Times New Roman" w:hAnsi="Times New Roman" w:cs="Times New Roman"/>
      <w:sz w:val="20"/>
      <w:szCs w:val="20"/>
    </w:rPr>
  </w:style>
  <w:style w:type="character" w:customStyle="1" w:styleId="Tijeloteksta-uvlaka2Char">
    <w:name w:val="Tijelo teksta - uvlaka 2 Char"/>
    <w:aliases w:val="uvlaka 2 Char"/>
    <w:basedOn w:val="Zadanifontodlomka"/>
    <w:link w:val="Tijeloteksta-uvlaka2"/>
    <w:semiHidden/>
    <w:locked/>
    <w:rsid w:val="00B36FC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B36FC4"/>
    <w:pPr>
      <w:suppressAutoHyphens w:val="0"/>
      <w:ind w:firstLine="708"/>
      <w:jc w:val="both"/>
    </w:pPr>
    <w:rPr>
      <w:rFonts w:cs="Times New Roman"/>
      <w:b/>
      <w:bCs/>
      <w:sz w:val="24"/>
      <w:szCs w:val="24"/>
      <w:lang w:val="hr-HR" w:eastAsia="en-US"/>
    </w:rPr>
  </w:style>
  <w:style w:type="character" w:customStyle="1" w:styleId="Tijeloteksta-uvlaka2Char1">
    <w:name w:val="Tijelo teksta - uvlaka 2 Char1"/>
    <w:aliases w:val="uvlaka 2 Char1"/>
    <w:basedOn w:val="Zadanifontodlomka"/>
    <w:semiHidden/>
    <w:rsid w:val="00B36FC4"/>
    <w:rPr>
      <w:rFonts w:ascii="Times New Roman" w:eastAsia="Times New Roman" w:hAnsi="Times New Roman" w:cs="Calibri"/>
      <w:sz w:val="20"/>
      <w:szCs w:val="20"/>
      <w:lang w:val="en-GB"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6FC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36F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ezproredaChar">
    <w:name w:val="Bez proreda Char"/>
    <w:link w:val="Bezproreda"/>
    <w:uiPriority w:val="1"/>
    <w:locked/>
    <w:rsid w:val="00B36FC4"/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B36FC4"/>
    <w:rPr>
      <w:rFonts w:ascii="Times New Roman" w:eastAsia="Times New Roman" w:hAnsi="Times New Roman" w:cs="Calibri"/>
      <w:sz w:val="20"/>
      <w:szCs w:val="20"/>
      <w:lang w:val="en-GB" w:eastAsia="ar-SA"/>
    </w:rPr>
  </w:style>
  <w:style w:type="character" w:customStyle="1" w:styleId="Normal6Char">
    <w:name w:val="Normal 6 Char"/>
    <w:link w:val="Normal6"/>
    <w:uiPriority w:val="99"/>
    <w:locked/>
    <w:rsid w:val="00B36FC4"/>
    <w:rPr>
      <w:lang w:val="sl-SI"/>
    </w:rPr>
  </w:style>
  <w:style w:type="paragraph" w:customStyle="1" w:styleId="Normal6">
    <w:name w:val="Normal 6"/>
    <w:basedOn w:val="Normal"/>
    <w:link w:val="Normal6Char"/>
    <w:uiPriority w:val="99"/>
    <w:rsid w:val="00B36FC4"/>
    <w:pPr>
      <w:suppressAutoHyphens w:val="0"/>
      <w:overflowPunct w:val="0"/>
      <w:autoSpaceDE w:val="0"/>
      <w:autoSpaceDN w:val="0"/>
      <w:adjustRightInd w:val="0"/>
      <w:spacing w:before="120" w:after="120"/>
      <w:ind w:left="1080"/>
      <w:jc w:val="both"/>
    </w:pPr>
    <w:rPr>
      <w:rFonts w:asciiTheme="minorHAnsi" w:eastAsiaTheme="minorHAnsi" w:hAnsiTheme="minorHAnsi" w:cstheme="minorBidi"/>
      <w:sz w:val="22"/>
      <w:szCs w:val="22"/>
      <w:lang w:val="sl-SI" w:eastAsia="en-US"/>
    </w:rPr>
  </w:style>
  <w:style w:type="paragraph" w:customStyle="1" w:styleId="t-7">
    <w:name w:val="t-7"/>
    <w:basedOn w:val="Normal"/>
    <w:uiPriority w:val="99"/>
    <w:rsid w:val="00B36FC4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hr-HR" w:eastAsia="hr-HR"/>
    </w:rPr>
  </w:style>
  <w:style w:type="paragraph" w:customStyle="1" w:styleId="BodyText21">
    <w:name w:val="Body Text 21"/>
    <w:basedOn w:val="Normal"/>
    <w:uiPriority w:val="99"/>
    <w:rsid w:val="00B36FC4"/>
    <w:pPr>
      <w:suppressAutoHyphens w:val="0"/>
      <w:overflowPunct w:val="0"/>
      <w:autoSpaceDE w:val="0"/>
      <w:autoSpaceDN w:val="0"/>
      <w:adjustRightInd w:val="0"/>
      <w:spacing w:after="120"/>
      <w:jc w:val="both"/>
    </w:pPr>
    <w:rPr>
      <w:rFonts w:cs="Times New Roman"/>
      <w:sz w:val="24"/>
      <w:lang w:val="hr-HR" w:eastAsia="hr-HR"/>
    </w:rPr>
  </w:style>
  <w:style w:type="paragraph" w:customStyle="1" w:styleId="Default">
    <w:name w:val="Default"/>
    <w:uiPriority w:val="99"/>
    <w:rsid w:val="00B3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customStyle="1" w:styleId="CONTekst01Char">
    <w:name w:val="CON_Tekst 01 Char"/>
    <w:link w:val="CONTekst01"/>
    <w:locked/>
    <w:rsid w:val="00B36FC4"/>
    <w:rPr>
      <w:rFonts w:ascii="Calibri" w:hAnsi="Calibri" w:cs="Calibri"/>
    </w:rPr>
  </w:style>
  <w:style w:type="paragraph" w:customStyle="1" w:styleId="CONTekst01">
    <w:name w:val="CON_Tekst 01"/>
    <w:link w:val="CONTekst01Char"/>
    <w:qFormat/>
    <w:rsid w:val="00B36FC4"/>
    <w:pPr>
      <w:spacing w:after="120" w:line="264" w:lineRule="auto"/>
      <w:jc w:val="both"/>
    </w:pPr>
    <w:rPr>
      <w:rFonts w:ascii="Calibri" w:hAnsi="Calibri" w:cs="Calibri"/>
    </w:rPr>
  </w:style>
  <w:style w:type="character" w:styleId="Referencakomentara">
    <w:name w:val="annotation reference"/>
    <w:uiPriority w:val="99"/>
    <w:semiHidden/>
    <w:unhideWhenUsed/>
    <w:rsid w:val="00B36FC4"/>
    <w:rPr>
      <w:sz w:val="16"/>
      <w:szCs w:val="16"/>
    </w:rPr>
  </w:style>
  <w:style w:type="character" w:customStyle="1" w:styleId="markedcontent">
    <w:name w:val="markedcontent"/>
    <w:basedOn w:val="Zadanifontodlomka"/>
    <w:rsid w:val="00B36FC4"/>
  </w:style>
  <w:style w:type="table" w:styleId="Reetkatablice">
    <w:name w:val="Table Grid"/>
    <w:basedOn w:val="Obinatablica"/>
    <w:uiPriority w:val="39"/>
    <w:rsid w:val="00B36FC4"/>
    <w:pPr>
      <w:spacing w:before="120" w:after="120" w:line="240" w:lineRule="auto"/>
      <w:ind w:left="115" w:right="115"/>
    </w:pPr>
    <w:rPr>
      <w:rFonts w:ascii="Calibri" w:eastAsia="Calibri" w:hAnsi="Calibri" w:cs="Times New Roman"/>
      <w:color w:val="404040"/>
      <w:sz w:val="20"/>
      <w:szCs w:val="20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  <w:szCs w:val="22"/>
      </w:rPr>
    </w:tblStylePr>
    <w:tblStylePr w:type="lastRow">
      <w:rPr>
        <w:b/>
        <w:i w:val="0"/>
        <w:sz w:val="22"/>
        <w:szCs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styleId="Tablicareetke1svijetlo-isticanje2">
    <w:name w:val="Grid Table 1 Light Accent 2"/>
    <w:basedOn w:val="Obinatablica"/>
    <w:uiPriority w:val="46"/>
    <w:rsid w:val="00B36FC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aglaeno">
    <w:name w:val="Strong"/>
    <w:basedOn w:val="Zadanifontodlomka"/>
    <w:uiPriority w:val="22"/>
    <w:qFormat/>
    <w:rsid w:val="00B36FC4"/>
    <w:rPr>
      <w:b/>
      <w:bCs/>
    </w:rPr>
  </w:style>
  <w:style w:type="table" w:styleId="ivopisnatablicapopisa7-isticanje5">
    <w:name w:val="List Table 7 Colorful Accent 5"/>
    <w:basedOn w:val="Obinatablica"/>
    <w:uiPriority w:val="52"/>
    <w:rsid w:val="00F34C1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icareetke1svijetlo-isticanje21">
    <w:name w:val="Tablica rešetke 1 (svijetlo) - isticanje 21"/>
    <w:basedOn w:val="Obinatablica"/>
    <w:uiPriority w:val="46"/>
    <w:rsid w:val="0063040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ivopisnatablicapopisa7-isticanje51">
    <w:name w:val="Živopisna tablica popisa 7 - isticanje 51"/>
    <w:basedOn w:val="Obinatablica"/>
    <w:uiPriority w:val="52"/>
    <w:rsid w:val="0063040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object-active">
    <w:name w:val="object-active"/>
    <w:basedOn w:val="Zadanifontodlomka"/>
    <w:rsid w:val="00630407"/>
  </w:style>
  <w:style w:type="character" w:customStyle="1" w:styleId="object">
    <w:name w:val="object"/>
    <w:basedOn w:val="Zadanifontodlomka"/>
    <w:rsid w:val="00630407"/>
  </w:style>
  <w:style w:type="character" w:customStyle="1" w:styleId="Naslov1Char">
    <w:name w:val="Naslov 1 Char"/>
    <w:basedOn w:val="Zadanifontodlomka"/>
    <w:link w:val="Naslov1"/>
    <w:rsid w:val="00695A9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slov2Char">
    <w:name w:val="Naslov 2 Char"/>
    <w:basedOn w:val="Zadanifontodlomka"/>
    <w:link w:val="Naslov2"/>
    <w:rsid w:val="00695A9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rsid w:val="00695A9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uiPriority w:val="9"/>
    <w:rsid w:val="00695A9D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n-GB" w:eastAsia="x-none"/>
    </w:rPr>
  </w:style>
  <w:style w:type="numbering" w:customStyle="1" w:styleId="Bezpopisa1">
    <w:name w:val="Bez popisa1"/>
    <w:next w:val="Bezpopisa"/>
    <w:uiPriority w:val="99"/>
    <w:semiHidden/>
    <w:unhideWhenUsed/>
    <w:rsid w:val="00695A9D"/>
  </w:style>
  <w:style w:type="paragraph" w:styleId="Tijeloteksta2">
    <w:name w:val="Body Text 2"/>
    <w:basedOn w:val="Normal"/>
    <w:link w:val="Tijeloteksta2Char"/>
    <w:rsid w:val="00695A9D"/>
    <w:pPr>
      <w:suppressAutoHyphens w:val="0"/>
      <w:jc w:val="both"/>
    </w:pPr>
    <w:rPr>
      <w:rFonts w:cs="Times New Roman"/>
      <w:sz w:val="24"/>
      <w:lang w:val="x-none" w:eastAsia="x-none"/>
    </w:rPr>
  </w:style>
  <w:style w:type="character" w:customStyle="1" w:styleId="Tijeloteksta2Char">
    <w:name w:val="Tijelo teksta 2 Char"/>
    <w:basedOn w:val="Zadanifontodlomka"/>
    <w:link w:val="Tijeloteksta2"/>
    <w:rsid w:val="00695A9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Uvuenotijeloteksta">
    <w:name w:val="Body Text Indent"/>
    <w:basedOn w:val="Normal"/>
    <w:link w:val="UvuenotijelotekstaChar"/>
    <w:rsid w:val="00695A9D"/>
    <w:pPr>
      <w:suppressAutoHyphens w:val="0"/>
      <w:spacing w:after="120"/>
      <w:ind w:left="283"/>
    </w:pPr>
    <w:rPr>
      <w:rFonts w:cs="Times New Roman"/>
      <w:lang w:eastAsia="x-none"/>
    </w:rPr>
  </w:style>
  <w:style w:type="character" w:customStyle="1" w:styleId="UvuenotijelotekstaChar">
    <w:name w:val="Uvučeno tijelo teksta Char"/>
    <w:basedOn w:val="Zadanifontodlomka"/>
    <w:link w:val="Uvuenotijeloteksta"/>
    <w:rsid w:val="00695A9D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customStyle="1" w:styleId="NoSpacing1">
    <w:name w:val="No Spacing1"/>
    <w:qFormat/>
    <w:rsid w:val="00695A9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695A9D"/>
    <w:pPr>
      <w:suppressAutoHyphens w:val="0"/>
    </w:pPr>
    <w:rPr>
      <w:rFonts w:ascii="Calibri" w:eastAsia="Calibri" w:hAnsi="Calibri" w:cs="Times New Roman"/>
      <w:lang w:val="x-none" w:eastAsia="x-none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695A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Referencakrajnjebiljeke">
    <w:name w:val="endnote reference"/>
    <w:uiPriority w:val="99"/>
    <w:semiHidden/>
    <w:unhideWhenUsed/>
    <w:rsid w:val="00695A9D"/>
    <w:rPr>
      <w:vertAlign w:val="superscript"/>
    </w:rPr>
  </w:style>
  <w:style w:type="paragraph" w:styleId="Citat">
    <w:name w:val="Quote"/>
    <w:basedOn w:val="Normal"/>
    <w:next w:val="Normal"/>
    <w:link w:val="CitatChar"/>
    <w:uiPriority w:val="29"/>
    <w:qFormat/>
    <w:rsid w:val="00695A9D"/>
    <w:pPr>
      <w:suppressAutoHyphens w:val="0"/>
      <w:spacing w:before="200" w:after="160"/>
      <w:ind w:left="864" w:right="864"/>
      <w:contextualSpacing/>
      <w:jc w:val="center"/>
    </w:pPr>
    <w:rPr>
      <w:rFonts w:ascii="Calibri" w:eastAsia="Calibri" w:hAnsi="Calibri" w:cs="Times New Roman"/>
      <w:i/>
      <w:iCs/>
      <w:color w:val="404040"/>
      <w:sz w:val="22"/>
      <w:szCs w:val="22"/>
      <w:lang w:val="hr-HR" w:eastAsia="en-US"/>
    </w:rPr>
  </w:style>
  <w:style w:type="character" w:customStyle="1" w:styleId="CitatChar">
    <w:name w:val="Citat Char"/>
    <w:basedOn w:val="Zadanifontodlomka"/>
    <w:link w:val="Citat"/>
    <w:uiPriority w:val="29"/>
    <w:rsid w:val="00695A9D"/>
    <w:rPr>
      <w:rFonts w:ascii="Calibri" w:eastAsia="Calibri" w:hAnsi="Calibri" w:cs="Times New Roman"/>
      <w:i/>
      <w:iCs/>
      <w:color w:val="404040"/>
    </w:rPr>
  </w:style>
  <w:style w:type="paragraph" w:customStyle="1" w:styleId="xl65">
    <w:name w:val="xl65"/>
    <w:basedOn w:val="Normal"/>
    <w:rsid w:val="00695A9D"/>
    <w:pPr>
      <w:suppressAutoHyphens w:val="0"/>
      <w:spacing w:before="100" w:beforeAutospacing="1" w:after="100" w:afterAutospacing="1"/>
    </w:pPr>
    <w:rPr>
      <w:rFonts w:cs="Times New Roman"/>
      <w:b/>
      <w:bCs/>
      <w:sz w:val="24"/>
      <w:szCs w:val="24"/>
      <w:lang w:val="hr-HR" w:eastAsia="hr-HR"/>
    </w:rPr>
  </w:style>
  <w:style w:type="paragraph" w:customStyle="1" w:styleId="xl66">
    <w:name w:val="xl66"/>
    <w:basedOn w:val="Normal"/>
    <w:rsid w:val="00695A9D"/>
    <w:pPr>
      <w:shd w:val="clear" w:color="000000" w:fill="000080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67">
    <w:name w:val="xl67"/>
    <w:basedOn w:val="Normal"/>
    <w:rsid w:val="00695A9D"/>
    <w:pPr>
      <w:shd w:val="clear" w:color="000000" w:fill="0000FF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68">
    <w:name w:val="xl68"/>
    <w:basedOn w:val="Normal"/>
    <w:rsid w:val="00695A9D"/>
    <w:pPr>
      <w:shd w:val="clear" w:color="000000" w:fill="3366FF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69">
    <w:name w:val="xl69"/>
    <w:basedOn w:val="Normal"/>
    <w:rsid w:val="00695A9D"/>
    <w:pPr>
      <w:shd w:val="clear" w:color="000000" w:fill="666699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0">
    <w:name w:val="xl70"/>
    <w:basedOn w:val="Normal"/>
    <w:rsid w:val="00695A9D"/>
    <w:pPr>
      <w:shd w:val="clear" w:color="000000" w:fill="9999FF"/>
      <w:suppressAutoHyphens w:val="0"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lang w:val="hr-HR" w:eastAsia="hr-HR"/>
    </w:rPr>
  </w:style>
  <w:style w:type="paragraph" w:customStyle="1" w:styleId="xl71">
    <w:name w:val="xl71"/>
    <w:basedOn w:val="Normal"/>
    <w:rsid w:val="00695A9D"/>
    <w:pPr>
      <w:shd w:val="clear" w:color="000000" w:fill="CCCCFF"/>
      <w:suppressAutoHyphens w:val="0"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lang w:val="hr-HR" w:eastAsia="hr-HR"/>
    </w:rPr>
  </w:style>
  <w:style w:type="paragraph" w:customStyle="1" w:styleId="xl72">
    <w:name w:val="xl72"/>
    <w:basedOn w:val="Normal"/>
    <w:rsid w:val="00695A9D"/>
    <w:pPr>
      <w:suppressAutoHyphens w:val="0"/>
      <w:spacing w:before="100" w:beforeAutospacing="1" w:after="100" w:afterAutospacing="1"/>
      <w:jc w:val="center"/>
    </w:pPr>
    <w:rPr>
      <w:rFonts w:cs="Times New Roman"/>
      <w:b/>
      <w:bCs/>
      <w:sz w:val="24"/>
      <w:szCs w:val="24"/>
      <w:lang w:val="hr-HR" w:eastAsia="hr-HR"/>
    </w:rPr>
  </w:style>
  <w:style w:type="paragraph" w:customStyle="1" w:styleId="xl73">
    <w:name w:val="xl73"/>
    <w:basedOn w:val="Normal"/>
    <w:rsid w:val="00695A9D"/>
    <w:pPr>
      <w:shd w:val="clear" w:color="000000" w:fill="000080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4">
    <w:name w:val="xl74"/>
    <w:basedOn w:val="Normal"/>
    <w:rsid w:val="00695A9D"/>
    <w:pPr>
      <w:shd w:val="clear" w:color="000000" w:fill="0000FF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5">
    <w:name w:val="xl75"/>
    <w:basedOn w:val="Normal"/>
    <w:rsid w:val="00695A9D"/>
    <w:pPr>
      <w:shd w:val="clear" w:color="000000" w:fill="666699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6">
    <w:name w:val="xl76"/>
    <w:basedOn w:val="Normal"/>
    <w:rsid w:val="00695A9D"/>
    <w:pPr>
      <w:shd w:val="clear" w:color="000000" w:fill="9999FF"/>
      <w:suppressAutoHyphens w:val="0"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lang w:val="hr-HR" w:eastAsia="hr-HR"/>
    </w:rPr>
  </w:style>
  <w:style w:type="paragraph" w:customStyle="1" w:styleId="xl77">
    <w:name w:val="xl77"/>
    <w:basedOn w:val="Normal"/>
    <w:rsid w:val="00695A9D"/>
    <w:pPr>
      <w:shd w:val="clear" w:color="000000" w:fill="CCCCFF"/>
      <w:suppressAutoHyphens w:val="0"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lang w:val="hr-HR" w:eastAsia="hr-HR"/>
    </w:rPr>
  </w:style>
  <w:style w:type="paragraph" w:customStyle="1" w:styleId="xl78">
    <w:name w:val="xl78"/>
    <w:basedOn w:val="Normal"/>
    <w:rsid w:val="00695A9D"/>
    <w:pPr>
      <w:shd w:val="clear" w:color="000000" w:fill="3366FF"/>
      <w:suppressAutoHyphens w:val="0"/>
      <w:spacing w:before="100" w:beforeAutospacing="1" w:after="100" w:afterAutospacing="1"/>
    </w:pPr>
    <w:rPr>
      <w:rFonts w:cs="Times New Roman"/>
      <w:b/>
      <w:bCs/>
      <w:color w:val="FFFFFF"/>
      <w:sz w:val="24"/>
      <w:szCs w:val="24"/>
      <w:lang w:val="hr-HR" w:eastAsia="hr-HR"/>
    </w:rPr>
  </w:style>
  <w:style w:type="paragraph" w:customStyle="1" w:styleId="xl79">
    <w:name w:val="xl79"/>
    <w:basedOn w:val="Normal"/>
    <w:rsid w:val="00695A9D"/>
    <w:pPr>
      <w:shd w:val="clear" w:color="9CA9FE" w:fill="9CA9FE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0">
    <w:name w:val="xl80"/>
    <w:basedOn w:val="Normal"/>
    <w:rsid w:val="00695A9D"/>
    <w:pPr>
      <w:shd w:val="clear" w:color="9CA9FE" w:fill="9CA9FE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1">
    <w:name w:val="xl81"/>
    <w:basedOn w:val="Normal"/>
    <w:rsid w:val="00695A9D"/>
    <w:pPr>
      <w:pBdr>
        <w:right w:val="single" w:sz="4" w:space="0" w:color="auto"/>
      </w:pBdr>
      <w:shd w:val="clear" w:color="9CA9FE" w:fill="9CA9FE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2">
    <w:name w:val="xl82"/>
    <w:basedOn w:val="Normal"/>
    <w:rsid w:val="00695A9D"/>
    <w:pPr>
      <w:pBdr>
        <w:left w:val="single" w:sz="4" w:space="0" w:color="auto"/>
      </w:pBdr>
      <w:shd w:val="clear" w:color="C1C1FF" w:fill="C1C1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3">
    <w:name w:val="xl83"/>
    <w:basedOn w:val="Normal"/>
    <w:rsid w:val="00695A9D"/>
    <w:pPr>
      <w:shd w:val="clear" w:color="C1C1FF" w:fill="C1C1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4">
    <w:name w:val="xl84"/>
    <w:basedOn w:val="Normal"/>
    <w:rsid w:val="00695A9D"/>
    <w:pPr>
      <w:shd w:val="clear" w:color="C1C1FF" w:fill="C1C1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5">
    <w:name w:val="xl85"/>
    <w:basedOn w:val="Normal"/>
    <w:rsid w:val="00695A9D"/>
    <w:pPr>
      <w:pBdr>
        <w:right w:val="single" w:sz="4" w:space="0" w:color="auto"/>
      </w:pBdr>
      <w:shd w:val="clear" w:color="C1C1FF" w:fill="C1C1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6">
    <w:name w:val="xl86"/>
    <w:basedOn w:val="Normal"/>
    <w:rsid w:val="00695A9D"/>
    <w:pPr>
      <w:pBdr>
        <w:left w:val="single" w:sz="4" w:space="0" w:color="auto"/>
      </w:pBdr>
      <w:shd w:val="clear" w:color="E1E1FF" w:fill="E1E1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7">
    <w:name w:val="xl87"/>
    <w:basedOn w:val="Normal"/>
    <w:rsid w:val="00695A9D"/>
    <w:pPr>
      <w:shd w:val="clear" w:color="E1E1FF" w:fill="E1E1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8">
    <w:name w:val="xl88"/>
    <w:basedOn w:val="Normal"/>
    <w:rsid w:val="00695A9D"/>
    <w:pPr>
      <w:shd w:val="clear" w:color="E1E1FF" w:fill="E1E1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89">
    <w:name w:val="xl89"/>
    <w:basedOn w:val="Normal"/>
    <w:rsid w:val="00695A9D"/>
    <w:pPr>
      <w:pBdr>
        <w:right w:val="single" w:sz="4" w:space="0" w:color="auto"/>
      </w:pBdr>
      <w:shd w:val="clear" w:color="E1E1FF" w:fill="E1E1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4"/>
      <w:szCs w:val="24"/>
      <w:lang w:val="hr-HR" w:eastAsia="hr-HR"/>
    </w:rPr>
  </w:style>
  <w:style w:type="paragraph" w:customStyle="1" w:styleId="xl90">
    <w:name w:val="xl90"/>
    <w:basedOn w:val="Normal"/>
    <w:rsid w:val="00695A9D"/>
    <w:pPr>
      <w:pBdr>
        <w:left w:val="single" w:sz="4" w:space="0" w:color="auto"/>
      </w:pBdr>
      <w:shd w:val="clear" w:color="3535FF" w:fill="3535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FFFF"/>
      <w:sz w:val="24"/>
      <w:szCs w:val="24"/>
      <w:lang w:val="hr-HR" w:eastAsia="hr-HR"/>
    </w:rPr>
  </w:style>
  <w:style w:type="paragraph" w:customStyle="1" w:styleId="xl91">
    <w:name w:val="xl91"/>
    <w:basedOn w:val="Normal"/>
    <w:rsid w:val="00695A9D"/>
    <w:pPr>
      <w:shd w:val="clear" w:color="3535FF" w:fill="3535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FFFF"/>
      <w:sz w:val="24"/>
      <w:szCs w:val="24"/>
      <w:lang w:val="hr-HR" w:eastAsia="hr-HR"/>
    </w:rPr>
  </w:style>
  <w:style w:type="paragraph" w:customStyle="1" w:styleId="xl92">
    <w:name w:val="xl92"/>
    <w:basedOn w:val="Normal"/>
    <w:rsid w:val="00695A9D"/>
    <w:pPr>
      <w:shd w:val="clear" w:color="3535FF" w:fill="3535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FFFF"/>
      <w:sz w:val="24"/>
      <w:szCs w:val="24"/>
      <w:lang w:val="hr-HR" w:eastAsia="hr-HR"/>
    </w:rPr>
  </w:style>
  <w:style w:type="paragraph" w:customStyle="1" w:styleId="xl93">
    <w:name w:val="xl93"/>
    <w:basedOn w:val="Normal"/>
    <w:rsid w:val="00695A9D"/>
    <w:pPr>
      <w:pBdr>
        <w:right w:val="single" w:sz="4" w:space="0" w:color="auto"/>
      </w:pBdr>
      <w:shd w:val="clear" w:color="3535FF" w:fill="3535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FFFF"/>
      <w:sz w:val="24"/>
      <w:szCs w:val="24"/>
      <w:lang w:val="hr-HR" w:eastAsia="hr-HR"/>
    </w:rPr>
  </w:style>
  <w:style w:type="numbering" w:customStyle="1" w:styleId="Bezpopisa2">
    <w:name w:val="Bez popisa2"/>
    <w:next w:val="Bezpopisa"/>
    <w:uiPriority w:val="99"/>
    <w:semiHidden/>
    <w:unhideWhenUsed/>
    <w:rsid w:val="00695A9D"/>
  </w:style>
  <w:style w:type="table" w:customStyle="1" w:styleId="Reetkatablice1">
    <w:name w:val="Rešetka tablice1"/>
    <w:basedOn w:val="Obinatablica"/>
    <w:next w:val="Reetkatablice"/>
    <w:uiPriority w:val="39"/>
    <w:rsid w:val="00695A9D"/>
    <w:pPr>
      <w:spacing w:before="120" w:after="120" w:line="240" w:lineRule="auto"/>
      <w:ind w:left="115" w:right="115"/>
    </w:pPr>
    <w:rPr>
      <w:rFonts w:ascii="Calibri" w:eastAsia="Calibri" w:hAnsi="Calibri" w:cs="Times New Roman"/>
      <w:color w:val="404040"/>
      <w:sz w:val="20"/>
      <w:szCs w:val="20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  <w:szCs w:val="22"/>
      </w:rPr>
    </w:tblStylePr>
    <w:tblStylePr w:type="lastRow">
      <w:rPr>
        <w:b/>
        <w:i w:val="0"/>
        <w:sz w:val="22"/>
        <w:szCs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numbering" w:customStyle="1" w:styleId="Bezpopisa3">
    <w:name w:val="Bez popisa3"/>
    <w:next w:val="Bezpopisa"/>
    <w:uiPriority w:val="99"/>
    <w:semiHidden/>
    <w:unhideWhenUsed/>
    <w:rsid w:val="00695A9D"/>
  </w:style>
  <w:style w:type="table" w:customStyle="1" w:styleId="Reetkatablice2">
    <w:name w:val="Rešetka tablice2"/>
    <w:basedOn w:val="Obinatablica"/>
    <w:next w:val="Reetkatablice"/>
    <w:uiPriority w:val="39"/>
    <w:rsid w:val="00695A9D"/>
    <w:pPr>
      <w:spacing w:before="120" w:after="120" w:line="240" w:lineRule="auto"/>
      <w:ind w:left="115" w:right="115"/>
    </w:pPr>
    <w:rPr>
      <w:rFonts w:ascii="Calibri" w:eastAsia="Calibri" w:hAnsi="Calibri" w:cs="Times New Roman"/>
      <w:color w:val="404040"/>
      <w:sz w:val="20"/>
      <w:szCs w:val="20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  <w:szCs w:val="22"/>
      </w:rPr>
    </w:tblStylePr>
    <w:tblStylePr w:type="lastRow">
      <w:rPr>
        <w:b/>
        <w:i w:val="0"/>
        <w:sz w:val="22"/>
        <w:szCs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table" w:styleId="Svijetlatablicareetke-isticanje1">
    <w:name w:val="Grid Table 1 Light Accent 1"/>
    <w:basedOn w:val="Obinatablica"/>
    <w:uiPriority w:val="46"/>
    <w:rsid w:val="00695A9D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01">
    <w:name w:val="fontstyle01"/>
    <w:basedOn w:val="Zadanifontodlomka"/>
    <w:rsid w:val="00695A9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530-4352-97C4-147DB2FD9FC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530-4352-97C4-147DB2FD9FC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D530-4352-97C4-147DB2FD9FC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D530-4352-97C4-147DB2FD9FC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D530-4352-97C4-147DB2FD9FC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D530-4352-97C4-147DB2FD9FC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D530-4352-97C4-147DB2FD9FC3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'Izvori financiranja'!$B$6:$B$12</c:f>
              <c:strCache>
                <c:ptCount val="7"/>
                <c:pt idx="0">
                  <c:v>Opći prihodi i primici</c:v>
                </c:pt>
                <c:pt idx="1">
                  <c:v>Decentralizacija</c:v>
                </c:pt>
                <c:pt idx="2">
                  <c:v>Decentralizacija-prenamjena-potres</c:v>
                </c:pt>
                <c:pt idx="3">
                  <c:v>Bz potres</c:v>
                </c:pt>
                <c:pt idx="4">
                  <c:v>Ostalo</c:v>
                </c:pt>
                <c:pt idx="5">
                  <c:v>Pomoći-Ministarstvo</c:v>
                </c:pt>
                <c:pt idx="6">
                  <c:v>Pomoći-EU sredstva</c:v>
                </c:pt>
              </c:strCache>
            </c:strRef>
          </c:cat>
          <c:val>
            <c:numRef>
              <c:f>'Izvori financiranja'!$C$6:$C$12</c:f>
              <c:numCache>
                <c:formatCode>#,##0.00</c:formatCode>
                <c:ptCount val="7"/>
                <c:pt idx="0">
                  <c:v>12047190.4</c:v>
                </c:pt>
                <c:pt idx="1">
                  <c:v>3217156.9</c:v>
                </c:pt>
                <c:pt idx="2">
                  <c:v>3978636.62</c:v>
                </c:pt>
                <c:pt idx="3">
                  <c:v>698465.4</c:v>
                </c:pt>
                <c:pt idx="4">
                  <c:v>389321.12</c:v>
                </c:pt>
                <c:pt idx="5">
                  <c:v>3339040.05</c:v>
                </c:pt>
                <c:pt idx="6">
                  <c:v>1953216.52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D530-4352-97C4-147DB2FD9FC3}"/>
            </c:ext>
          </c:extLst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0-D530-4352-97C4-147DB2FD9FC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2-D530-4352-97C4-147DB2FD9FC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4-D530-4352-97C4-147DB2FD9FC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6-D530-4352-97C4-147DB2FD9FC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8-D530-4352-97C4-147DB2FD9FC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A-D530-4352-97C4-147DB2FD9FC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C-D530-4352-97C4-147DB2FD9FC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'Izvori financiranja'!$B$6:$B$12</c:f>
              <c:strCache>
                <c:ptCount val="7"/>
                <c:pt idx="0">
                  <c:v>Opći prihodi i primici</c:v>
                </c:pt>
                <c:pt idx="1">
                  <c:v>Decentralizacija</c:v>
                </c:pt>
                <c:pt idx="2">
                  <c:v>Decentralizacija-prenamjena-potres</c:v>
                </c:pt>
                <c:pt idx="3">
                  <c:v>Bz potres</c:v>
                </c:pt>
                <c:pt idx="4">
                  <c:v>Ostalo</c:v>
                </c:pt>
                <c:pt idx="5">
                  <c:v>Pomoći-Ministarstvo</c:v>
                </c:pt>
                <c:pt idx="6">
                  <c:v>Pomoći-EU sredstva</c:v>
                </c:pt>
              </c:strCache>
            </c:strRef>
          </c:cat>
          <c:val>
            <c:numRef>
              <c:f>'Izvori financiranja'!$D$6:$D$12</c:f>
              <c:numCache>
                <c:formatCode>0.0%</c:formatCode>
                <c:ptCount val="7"/>
                <c:pt idx="0">
                  <c:v>0.47017046016063185</c:v>
                </c:pt>
                <c:pt idx="1">
                  <c:v>0.12555725358851735</c:v>
                </c:pt>
                <c:pt idx="2">
                  <c:v>0.15527582351793337</c:v>
                </c:pt>
                <c:pt idx="3">
                  <c:v>2.7259285162811057E-2</c:v>
                </c:pt>
                <c:pt idx="4">
                  <c:v>1.5194189189593333E-2</c:v>
                </c:pt>
                <c:pt idx="5">
                  <c:v>0.13031403544541631</c:v>
                </c:pt>
                <c:pt idx="6">
                  <c:v>7.6228952935096642E-2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D-D530-4352-97C4-147DB2FD9FC3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ABDD9-178D-4344-B630-76BA95EF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7890</Words>
  <Characters>44976</Characters>
  <Application>Microsoft Office Word</Application>
  <DocSecurity>0</DocSecurity>
  <Lines>374</Lines>
  <Paragraphs>105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Znika</dc:creator>
  <cp:keywords/>
  <dc:description/>
  <cp:lastModifiedBy>Ivana Petek</cp:lastModifiedBy>
  <cp:revision>56</cp:revision>
  <cp:lastPrinted>2024-09-16T06:25:00Z</cp:lastPrinted>
  <dcterms:created xsi:type="dcterms:W3CDTF">2024-09-02T11:05:00Z</dcterms:created>
  <dcterms:modified xsi:type="dcterms:W3CDTF">2024-09-16T06:29:00Z</dcterms:modified>
</cp:coreProperties>
</file>