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+*xfs*pvs*lsu*cvA*xBj*qkc*oEa*dks*ctk*CcE*pBk*-</w:t>
            </w:r>
            <w:r>
              <w:rPr>
                <w:rFonts w:ascii="PDF417x" w:hAnsi="PDF417x"/>
                <w:sz w:val="24"/>
                <w:szCs w:val="24"/>
              </w:rPr>
              <w:br/>
              <w:t>+*yqw*ziF*zCr*cjc*yni*krn*ziv*yDe*Ebo*jus*zew*-</w:t>
            </w:r>
            <w:r>
              <w:rPr>
                <w:rFonts w:ascii="PDF417x" w:hAnsi="PDF417x"/>
                <w:sz w:val="24"/>
                <w:szCs w:val="24"/>
              </w:rPr>
              <w:br/>
              <w:t>+*eDs*lyd*lyd*lyd*lyd*Dse*wro*asy*akb*nxc*zfE*-</w:t>
            </w:r>
            <w:r>
              <w:rPr>
                <w:rFonts w:ascii="PDF417x" w:hAnsi="PDF417x"/>
                <w:sz w:val="24"/>
                <w:szCs w:val="24"/>
              </w:rPr>
              <w:br/>
              <w:t>+*ftw*Flk*Blv*Bnn*hss*EDg*uBb*tms*wsr*BDr*onA*-</w:t>
            </w:r>
            <w:r>
              <w:rPr>
                <w:rFonts w:ascii="PDF417x" w:hAnsi="PDF417x"/>
                <w:sz w:val="24"/>
                <w:szCs w:val="24"/>
              </w:rPr>
              <w:br/>
              <w:t>+*ftA*ozi*ybh*ymD*tnm*sfq*uak*wkl*lrl*tgc*uws*-</w:t>
            </w:r>
            <w:r>
              <w:rPr>
                <w:rFonts w:ascii="PDF417x" w:hAnsi="PDF417x"/>
                <w:sz w:val="24"/>
                <w:szCs w:val="24"/>
              </w:rPr>
              <w:br/>
              <w:t>+*xjq*DCb*Dkq*Bgz*CCy*Bcy*Ahi*xbm*Axg*iks*uzq*-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tbl>
      <w:tblPr>
        <w:tblpPr w:leftFromText="180" w:rightFromText="180" w:vertAnchor="page" w:horzAnchor="margin" w:tblpY="16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5857"/>
      </w:tblGrid>
      <w:tr w:rsidR="002D5568" w14:paraId="4B23D57D" w14:textId="77777777" w:rsidTr="002D5568">
        <w:trPr>
          <w:trHeight w:val="1402"/>
        </w:trPr>
        <w:tc>
          <w:tcPr>
            <w:tcW w:w="8925" w:type="dxa"/>
            <w:gridSpan w:val="2"/>
            <w:shd w:val="clear" w:color="auto" w:fill="auto"/>
          </w:tcPr>
          <w:p w14:paraId="56EF8024" w14:textId="77777777" w:rsidR="002D5568" w:rsidRPr="008209B9" w:rsidRDefault="002D5568" w:rsidP="002D5568">
            <w:pPr>
              <w:rPr>
                <w:rFonts w:ascii="Times New Roman" w:hAnsi="Times New Roman" w:cs="Times New Roman"/>
                <w:sz w:val="24"/>
                <w:szCs w:val="24"/>
              </w:rPr>
            </w:pPr>
          </w:p>
          <w:p w14:paraId="3D13C19D" w14:textId="77777777" w:rsidR="002D5568" w:rsidRPr="008209B9" w:rsidRDefault="002D5568" w:rsidP="002D5568">
            <w:pPr>
              <w:jc w:val="center"/>
              <w:rPr>
                <w:rFonts w:ascii="Times New Roman" w:hAnsi="Times New Roman" w:cs="Times New Roman"/>
                <w:b/>
                <w:sz w:val="24"/>
                <w:szCs w:val="24"/>
              </w:rPr>
            </w:pPr>
            <w:r w:rsidRPr="008209B9">
              <w:rPr>
                <w:rFonts w:ascii="Times New Roman" w:hAnsi="Times New Roman" w:cs="Times New Roman"/>
                <w:b/>
                <w:sz w:val="24"/>
                <w:szCs w:val="24"/>
              </w:rPr>
              <w:t xml:space="preserve">Izvješće o provedenom savjetovanju sa zainteresiranom javnošću o </w:t>
            </w:r>
          </w:p>
          <w:p w14:paraId="39F78A63" w14:textId="77777777" w:rsidR="002D5568" w:rsidRPr="008209B9" w:rsidRDefault="002D5568" w:rsidP="002D5568">
            <w:pPr>
              <w:jc w:val="center"/>
              <w:rPr>
                <w:rFonts w:ascii="Times New Roman" w:hAnsi="Times New Roman" w:cs="Times New Roman"/>
                <w:sz w:val="24"/>
                <w:szCs w:val="24"/>
              </w:rPr>
            </w:pPr>
            <w:r w:rsidRPr="008209B9">
              <w:rPr>
                <w:rFonts w:ascii="Times New Roman" w:hAnsi="Times New Roman" w:cs="Times New Roman"/>
                <w:sz w:val="24"/>
                <w:szCs w:val="24"/>
              </w:rPr>
              <w:t>Nacrtu Procjene rizika od velikih nesreća za područje Krapinsko-zagorske županije</w:t>
            </w:r>
          </w:p>
          <w:p w14:paraId="6884D673" w14:textId="77777777" w:rsidR="002D5568" w:rsidRPr="008209B9" w:rsidRDefault="002D5568" w:rsidP="002D5568">
            <w:pPr>
              <w:jc w:val="center"/>
              <w:rPr>
                <w:rFonts w:ascii="Times New Roman" w:hAnsi="Times New Roman" w:cs="Times New Roman"/>
                <w:b/>
                <w:sz w:val="24"/>
                <w:szCs w:val="24"/>
              </w:rPr>
            </w:pPr>
          </w:p>
        </w:tc>
      </w:tr>
      <w:tr w:rsidR="002D5568" w14:paraId="70E1A2C1" w14:textId="77777777" w:rsidTr="002D5568">
        <w:tc>
          <w:tcPr>
            <w:tcW w:w="3068" w:type="dxa"/>
            <w:shd w:val="clear" w:color="auto" w:fill="auto"/>
          </w:tcPr>
          <w:p w14:paraId="38C202D7" w14:textId="77777777" w:rsidR="002D5568" w:rsidRPr="008209B9" w:rsidRDefault="002D5568" w:rsidP="002D5568">
            <w:pPr>
              <w:rPr>
                <w:rFonts w:ascii="Times New Roman" w:hAnsi="Times New Roman" w:cs="Times New Roman"/>
                <w:b/>
                <w:sz w:val="24"/>
                <w:szCs w:val="24"/>
              </w:rPr>
            </w:pPr>
            <w:r w:rsidRPr="008209B9">
              <w:rPr>
                <w:rFonts w:ascii="Times New Roman" w:hAnsi="Times New Roman" w:cs="Times New Roman"/>
                <w:b/>
                <w:sz w:val="24"/>
                <w:szCs w:val="24"/>
              </w:rPr>
              <w:t>Naziv dokumenta</w:t>
            </w:r>
          </w:p>
        </w:tc>
        <w:tc>
          <w:tcPr>
            <w:tcW w:w="5857" w:type="dxa"/>
            <w:shd w:val="clear" w:color="auto" w:fill="auto"/>
          </w:tcPr>
          <w:p w14:paraId="05F3B133"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Nacrt Procjene rizika od velikih nesreća za područje Krapinsko-zagorske županije</w:t>
            </w:r>
          </w:p>
        </w:tc>
      </w:tr>
      <w:tr w:rsidR="002D5568" w14:paraId="03B62E73" w14:textId="77777777" w:rsidTr="002D5568">
        <w:trPr>
          <w:trHeight w:val="843"/>
        </w:trPr>
        <w:tc>
          <w:tcPr>
            <w:tcW w:w="3068" w:type="dxa"/>
            <w:shd w:val="clear" w:color="auto" w:fill="auto"/>
          </w:tcPr>
          <w:p w14:paraId="1B2DACEB" w14:textId="77777777" w:rsidR="002D5568" w:rsidRPr="008209B9" w:rsidRDefault="002D5568" w:rsidP="002D5568">
            <w:pPr>
              <w:rPr>
                <w:rFonts w:ascii="Times New Roman" w:hAnsi="Times New Roman" w:cs="Times New Roman"/>
                <w:b/>
                <w:sz w:val="24"/>
                <w:szCs w:val="24"/>
              </w:rPr>
            </w:pPr>
            <w:r w:rsidRPr="008209B9">
              <w:rPr>
                <w:rFonts w:ascii="Times New Roman" w:hAnsi="Times New Roman" w:cs="Times New Roman"/>
                <w:b/>
                <w:sz w:val="24"/>
                <w:szCs w:val="24"/>
              </w:rPr>
              <w:t>Stvaratelj dokumenta, tijelo koje je provelo savjetovanje</w:t>
            </w:r>
          </w:p>
        </w:tc>
        <w:tc>
          <w:tcPr>
            <w:tcW w:w="5857" w:type="dxa"/>
            <w:shd w:val="clear" w:color="auto" w:fill="auto"/>
          </w:tcPr>
          <w:p w14:paraId="424F6EF0" w14:textId="77777777" w:rsidR="002D5568" w:rsidRPr="008209B9" w:rsidRDefault="002D5568" w:rsidP="002D5568">
            <w:pPr>
              <w:rPr>
                <w:rFonts w:ascii="Times New Roman" w:hAnsi="Times New Roman" w:cs="Times New Roman"/>
                <w:sz w:val="24"/>
                <w:szCs w:val="24"/>
              </w:rPr>
            </w:pPr>
            <w:r w:rsidRPr="008209B9">
              <w:rPr>
                <w:rFonts w:ascii="Times New Roman" w:hAnsi="Times New Roman" w:cs="Times New Roman"/>
                <w:sz w:val="24"/>
                <w:szCs w:val="24"/>
              </w:rPr>
              <w:t>Radna skupina, Upravni odjel za opću upravu, imovinsko-pravne i zajedničke poslove</w:t>
            </w:r>
          </w:p>
          <w:p w14:paraId="7C5FD689" w14:textId="77777777" w:rsidR="002D5568" w:rsidRPr="008209B9" w:rsidRDefault="002D5568" w:rsidP="002D5568">
            <w:pPr>
              <w:rPr>
                <w:rFonts w:ascii="Times New Roman" w:hAnsi="Times New Roman" w:cs="Times New Roman"/>
                <w:sz w:val="24"/>
                <w:szCs w:val="24"/>
              </w:rPr>
            </w:pPr>
          </w:p>
        </w:tc>
      </w:tr>
      <w:tr w:rsidR="002D5568" w14:paraId="0A4E2BB0" w14:textId="77777777" w:rsidTr="002D5568">
        <w:tc>
          <w:tcPr>
            <w:tcW w:w="3068" w:type="dxa"/>
            <w:shd w:val="clear" w:color="auto" w:fill="auto"/>
          </w:tcPr>
          <w:p w14:paraId="7F209BCF" w14:textId="77777777" w:rsidR="002D5568" w:rsidRPr="008209B9" w:rsidRDefault="002D5568" w:rsidP="002D5568">
            <w:pPr>
              <w:rPr>
                <w:rFonts w:ascii="Times New Roman" w:hAnsi="Times New Roman" w:cs="Times New Roman"/>
                <w:b/>
                <w:sz w:val="24"/>
                <w:szCs w:val="24"/>
              </w:rPr>
            </w:pPr>
            <w:r w:rsidRPr="008209B9">
              <w:rPr>
                <w:rFonts w:ascii="Times New Roman" w:hAnsi="Times New Roman" w:cs="Times New Roman"/>
                <w:b/>
                <w:sz w:val="24"/>
                <w:szCs w:val="24"/>
              </w:rPr>
              <w:t>Svrha dokumenta</w:t>
            </w:r>
          </w:p>
        </w:tc>
        <w:tc>
          <w:tcPr>
            <w:tcW w:w="5857" w:type="dxa"/>
            <w:shd w:val="clear" w:color="auto" w:fill="auto"/>
          </w:tcPr>
          <w:p w14:paraId="21065095"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 xml:space="preserve">Obveza izrade propisana je Zakonom o sustavu civilne zaštite („Narodne novine“, broj 82/15, 118/18, 31/20, 20/21 i 114/22.) </w:t>
            </w:r>
          </w:p>
        </w:tc>
      </w:tr>
      <w:tr w:rsidR="002D5568" w14:paraId="2ED94801" w14:textId="77777777" w:rsidTr="002D5568">
        <w:tc>
          <w:tcPr>
            <w:tcW w:w="3068" w:type="dxa"/>
            <w:vMerge w:val="restart"/>
            <w:shd w:val="clear" w:color="auto" w:fill="auto"/>
          </w:tcPr>
          <w:p w14:paraId="73EEC451" w14:textId="77777777" w:rsidR="002D5568" w:rsidRPr="008209B9" w:rsidRDefault="002D5568" w:rsidP="002D5568">
            <w:pPr>
              <w:rPr>
                <w:rFonts w:ascii="Times New Roman" w:hAnsi="Times New Roman" w:cs="Times New Roman"/>
                <w:b/>
                <w:sz w:val="24"/>
                <w:szCs w:val="24"/>
              </w:rPr>
            </w:pPr>
            <w:r w:rsidRPr="008209B9">
              <w:rPr>
                <w:rFonts w:ascii="Times New Roman" w:hAnsi="Times New Roman" w:cs="Times New Roman"/>
                <w:b/>
                <w:sz w:val="24"/>
                <w:szCs w:val="24"/>
              </w:rPr>
              <w:t>Internetska stranica na kojoj je bio objavljen javni poziv</w:t>
            </w:r>
          </w:p>
        </w:tc>
        <w:tc>
          <w:tcPr>
            <w:tcW w:w="5857" w:type="dxa"/>
            <w:shd w:val="clear" w:color="auto" w:fill="auto"/>
          </w:tcPr>
          <w:p w14:paraId="29EE5F46" w14:textId="77777777" w:rsidR="002D5568" w:rsidRPr="008209B9" w:rsidRDefault="002D5568" w:rsidP="002D5568">
            <w:pPr>
              <w:jc w:val="both"/>
              <w:rPr>
                <w:rFonts w:ascii="Times New Roman" w:hAnsi="Times New Roman" w:cs="Times New Roman"/>
                <w:sz w:val="24"/>
                <w:szCs w:val="24"/>
              </w:rPr>
            </w:pPr>
            <w:hyperlink r:id="rId7" w:history="1">
              <w:r w:rsidRPr="008209B9">
                <w:rPr>
                  <w:rStyle w:val="Hiperveza"/>
                  <w:rFonts w:ascii="Times New Roman" w:hAnsi="Times New Roman" w:cs="Times New Roman"/>
                  <w:sz w:val="24"/>
                  <w:szCs w:val="24"/>
                </w:rPr>
                <w:t>www.kzz.hr</w:t>
              </w:r>
            </w:hyperlink>
            <w:r w:rsidRPr="008209B9">
              <w:rPr>
                <w:rFonts w:ascii="Times New Roman" w:hAnsi="Times New Roman" w:cs="Times New Roman"/>
                <w:sz w:val="24"/>
                <w:szCs w:val="24"/>
              </w:rPr>
              <w:t xml:space="preserve"> – internetska stranica Krapinsko-zagorske županije</w:t>
            </w:r>
          </w:p>
          <w:p w14:paraId="38C9C00B" w14:textId="77777777" w:rsidR="002D5568" w:rsidRPr="008209B9" w:rsidRDefault="002D5568" w:rsidP="002D5568">
            <w:pPr>
              <w:jc w:val="both"/>
              <w:rPr>
                <w:rFonts w:ascii="Times New Roman" w:hAnsi="Times New Roman" w:cs="Times New Roman"/>
                <w:sz w:val="24"/>
                <w:szCs w:val="24"/>
              </w:rPr>
            </w:pPr>
          </w:p>
        </w:tc>
      </w:tr>
      <w:tr w:rsidR="002D5568" w14:paraId="109C39A2" w14:textId="77777777" w:rsidTr="002D5568">
        <w:tc>
          <w:tcPr>
            <w:tcW w:w="3068" w:type="dxa"/>
            <w:vMerge/>
            <w:shd w:val="clear" w:color="auto" w:fill="auto"/>
          </w:tcPr>
          <w:p w14:paraId="60AC1851" w14:textId="77777777" w:rsidR="002D5568" w:rsidRPr="008209B9" w:rsidRDefault="002D5568" w:rsidP="002D5568">
            <w:pPr>
              <w:rPr>
                <w:rFonts w:ascii="Times New Roman" w:hAnsi="Times New Roman" w:cs="Times New Roman"/>
                <w:b/>
                <w:sz w:val="24"/>
                <w:szCs w:val="24"/>
              </w:rPr>
            </w:pPr>
          </w:p>
        </w:tc>
        <w:tc>
          <w:tcPr>
            <w:tcW w:w="5857" w:type="dxa"/>
            <w:shd w:val="clear" w:color="auto" w:fill="auto"/>
          </w:tcPr>
          <w:p w14:paraId="452DBFFB"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Internetsko savjetovanje sa zainteresiranom javnošću trajalo je od 24. siječnja do 20. veljače  2025. godine</w:t>
            </w:r>
          </w:p>
          <w:p w14:paraId="072AD0E3" w14:textId="77777777" w:rsidR="002D5568" w:rsidRPr="008209B9" w:rsidRDefault="002D5568" w:rsidP="002D5568">
            <w:pPr>
              <w:jc w:val="both"/>
              <w:rPr>
                <w:rFonts w:ascii="Times New Roman" w:hAnsi="Times New Roman" w:cs="Times New Roman"/>
                <w:sz w:val="24"/>
                <w:szCs w:val="24"/>
              </w:rPr>
            </w:pPr>
          </w:p>
        </w:tc>
      </w:tr>
      <w:tr w:rsidR="002D5568" w14:paraId="63221494" w14:textId="77777777" w:rsidTr="002D5568">
        <w:tc>
          <w:tcPr>
            <w:tcW w:w="3068" w:type="dxa"/>
            <w:shd w:val="clear" w:color="auto" w:fill="auto"/>
          </w:tcPr>
          <w:p w14:paraId="545BB2EC" w14:textId="77777777" w:rsidR="002D5568" w:rsidRPr="008209B9" w:rsidRDefault="002D5568" w:rsidP="002D5568">
            <w:pPr>
              <w:rPr>
                <w:rFonts w:ascii="Times New Roman" w:hAnsi="Times New Roman" w:cs="Times New Roman"/>
                <w:b/>
                <w:sz w:val="24"/>
                <w:szCs w:val="24"/>
              </w:rPr>
            </w:pPr>
            <w:r w:rsidRPr="008209B9">
              <w:rPr>
                <w:rFonts w:ascii="Times New Roman" w:hAnsi="Times New Roman" w:cs="Times New Roman"/>
                <w:b/>
                <w:sz w:val="24"/>
                <w:szCs w:val="24"/>
              </w:rPr>
              <w:t>Predstavnici zainteresirane javnosti koji su dostavili svoja očitovanja</w:t>
            </w:r>
          </w:p>
        </w:tc>
        <w:tc>
          <w:tcPr>
            <w:tcW w:w="5857" w:type="dxa"/>
            <w:shd w:val="clear" w:color="auto" w:fill="auto"/>
          </w:tcPr>
          <w:p w14:paraId="5CEBF4FA"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Martina Špoljar</w:t>
            </w:r>
          </w:p>
        </w:tc>
      </w:tr>
      <w:tr w:rsidR="002D5568" w14:paraId="028F6E2A" w14:textId="77777777" w:rsidTr="002D5568">
        <w:tc>
          <w:tcPr>
            <w:tcW w:w="3068" w:type="dxa"/>
            <w:shd w:val="clear" w:color="auto" w:fill="auto"/>
          </w:tcPr>
          <w:p w14:paraId="2D7C51FA" w14:textId="77777777" w:rsidR="002D5568" w:rsidRPr="008209B9" w:rsidRDefault="002D5568" w:rsidP="002D5568">
            <w:pPr>
              <w:rPr>
                <w:rFonts w:ascii="Times New Roman" w:hAnsi="Times New Roman" w:cs="Times New Roman"/>
                <w:b/>
                <w:sz w:val="24"/>
                <w:szCs w:val="24"/>
              </w:rPr>
            </w:pPr>
            <w:r w:rsidRPr="008209B9">
              <w:rPr>
                <w:rFonts w:ascii="Times New Roman" w:hAnsi="Times New Roman" w:cs="Times New Roman"/>
                <w:b/>
                <w:sz w:val="24"/>
                <w:szCs w:val="24"/>
              </w:rPr>
              <w:t>Prihvaćene/neprihvaćene primjedbe</w:t>
            </w:r>
          </w:p>
          <w:p w14:paraId="15619FFE" w14:textId="77777777" w:rsidR="002D5568" w:rsidRPr="008209B9" w:rsidRDefault="002D5568" w:rsidP="002D5568">
            <w:pPr>
              <w:rPr>
                <w:rFonts w:ascii="Times New Roman" w:hAnsi="Times New Roman" w:cs="Times New Roman"/>
                <w:b/>
                <w:sz w:val="24"/>
                <w:szCs w:val="24"/>
              </w:rPr>
            </w:pPr>
          </w:p>
        </w:tc>
        <w:tc>
          <w:tcPr>
            <w:tcW w:w="5857" w:type="dxa"/>
            <w:shd w:val="clear" w:color="auto" w:fill="auto"/>
          </w:tcPr>
          <w:p w14:paraId="5D438147"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Smjernice za izradu Procjene rizika od katastrofa za Republiku Hrvatsku od 16. veljače 2024. godine ili kao što je navedeno u primjedbi broj 1. "nove nacionalne smjernice za izradu procjene rizika od 16.02.2024.", donosile su se za i odnose se isključivo na izradu Procjenu rizika od katastrofa za Republiku Hrvatsku od 20. ožujka 2024. godine i nisu temelj donošenja županijskih smjernica te županijske smjernice ne podliježu istima. Procjena rizika od katastrofa za Republiku Hrvatsku je sadržajno drugačija od županijskih procjena te se na stranici 12. iste, točki 2.2.2. Postupak odabira prioritetnih prijetnji i rizika, odlomak 1. navodi: "Ovaj dokument dorađuje prethodne nacionalne Procjene rizika koje su izrađene na podlozi prethodne identifikacije prijetnji u sklopu postupka izrade Procjene ugroženosti Republike Hrvatske od prirodnih i tehničko - tehnoloških katastrofa i velikih nesreća." </w:t>
            </w:r>
          </w:p>
          <w:p w14:paraId="01C36EDE" w14:textId="77777777" w:rsidR="002D5568" w:rsidRPr="008209B9" w:rsidRDefault="002D5568" w:rsidP="002D5568">
            <w:pPr>
              <w:rPr>
                <w:rFonts w:ascii="Times New Roman" w:hAnsi="Times New Roman" w:cs="Times New Roman"/>
                <w:sz w:val="24"/>
                <w:szCs w:val="24"/>
              </w:rPr>
            </w:pPr>
          </w:p>
          <w:p w14:paraId="4180E79B"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Sadržaj procjena rizika od velikih nesreća jasno je zadan i opisan Pravilnikom o smjernicama za izradu procjena rizika od katastrofa i velikih nesreća za područje Republike Hrvatske i jedinica lokalne i područne (regionalne) samouprave (NN 65/16), te Kriterijima za izradu smjernica koje donose čelnici područne (regionalne) samouprave za potrebe izrade procjena rizika od velikih nesreća na razinama jedinica lokalnih i područnih (regionalni) samouprava od 28. studenog 2016. godine, a koji su objavljeni na stranicama Ravnateljstva civilne zaštite te istima možete pristupiti putem linka:          </w:t>
            </w:r>
          </w:p>
          <w:p w14:paraId="0941FE8E" w14:textId="77777777" w:rsidR="002D5568" w:rsidRPr="008209B9" w:rsidRDefault="002D5568" w:rsidP="002D5568">
            <w:pPr>
              <w:jc w:val="both"/>
              <w:rPr>
                <w:rFonts w:ascii="Times New Roman" w:hAnsi="Times New Roman" w:cs="Times New Roman"/>
                <w:sz w:val="24"/>
                <w:szCs w:val="24"/>
              </w:rPr>
            </w:pPr>
            <w:hyperlink r:id="rId8" w:tgtFrame="_blank" w:history="1">
              <w:r w:rsidRPr="008209B9">
                <w:rPr>
                  <w:rStyle w:val="Hiperveza"/>
                  <w:rFonts w:ascii="Times New Roman" w:hAnsi="Times New Roman" w:cs="Times New Roman"/>
                  <w:sz w:val="24"/>
                  <w:szCs w:val="24"/>
                </w:rPr>
                <w:t>https://civilna-zastita.gov.hr/dokumenti-91/91</w:t>
              </w:r>
            </w:hyperlink>
          </w:p>
          <w:p w14:paraId="43CF3E84" w14:textId="77777777" w:rsidR="002D5568" w:rsidRPr="008209B9" w:rsidRDefault="002D5568" w:rsidP="002D5568">
            <w:pPr>
              <w:jc w:val="both"/>
              <w:rPr>
                <w:rFonts w:ascii="Times New Roman" w:hAnsi="Times New Roman" w:cs="Times New Roman"/>
                <w:sz w:val="24"/>
                <w:szCs w:val="24"/>
              </w:rPr>
            </w:pPr>
          </w:p>
          <w:p w14:paraId="009E18E3"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Procjena rizika od velikih nesreća za Krapinsko - zagorsku županiju je analitički dokument te će se na temelju iste, a sukladno stvarnim potrebama donijeti sve potrebne odluke iz područja civilne zaštite kao i sam Plan djelovanja civilne zaštite KZŽ. </w:t>
            </w:r>
          </w:p>
          <w:p w14:paraId="4C2D6227" w14:textId="77777777" w:rsidR="002D5568" w:rsidRPr="008209B9" w:rsidRDefault="002D5568" w:rsidP="002D5568">
            <w:pPr>
              <w:jc w:val="both"/>
              <w:rPr>
                <w:rFonts w:ascii="Times New Roman" w:hAnsi="Times New Roman" w:cs="Times New Roman"/>
                <w:sz w:val="24"/>
                <w:szCs w:val="24"/>
              </w:rPr>
            </w:pPr>
          </w:p>
          <w:p w14:paraId="041B5A06"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U Procjeni rizika od velikih nesreća za Krapinsko - zagorsku županiju zamijeniti će se stara verzija standarda ISO 31000 koja se poziva na HRN EN ISO 21000:2012 sa novijom verzijom HRN ISO 31000:2018.</w:t>
            </w:r>
          </w:p>
          <w:p w14:paraId="28594DAE" w14:textId="77777777" w:rsidR="002D5568" w:rsidRPr="008209B9" w:rsidRDefault="002D5568" w:rsidP="002D5568">
            <w:pPr>
              <w:jc w:val="both"/>
              <w:rPr>
                <w:rFonts w:ascii="Times New Roman" w:hAnsi="Times New Roman" w:cs="Times New Roman"/>
                <w:sz w:val="24"/>
                <w:szCs w:val="24"/>
              </w:rPr>
            </w:pPr>
          </w:p>
          <w:p w14:paraId="0505DA37"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Procjene rizika za područje jedinica lokalne i područne (regionalne) samouprave ne analiziraju kontekst dugoročnog upravljanja, planiranje otpornosti je prikazano u točki 8.1.4.  nacrta Procjene rizika od velikih nesreća Krapinsko - zagorske županije. </w:t>
            </w:r>
          </w:p>
          <w:p w14:paraId="4C9126D4" w14:textId="77777777" w:rsidR="002D5568" w:rsidRPr="008209B9" w:rsidRDefault="002D5568" w:rsidP="002D5568">
            <w:pPr>
              <w:jc w:val="both"/>
              <w:rPr>
                <w:rFonts w:ascii="Times New Roman" w:hAnsi="Times New Roman" w:cs="Times New Roman"/>
                <w:sz w:val="24"/>
                <w:szCs w:val="24"/>
              </w:rPr>
            </w:pPr>
          </w:p>
          <w:p w14:paraId="778B6B5A"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Nacrt Procjene rizika od velikih nesreća za KZŽ izrađen je sukladno propisanom sadržaju i njegovim zahtjevima te nema osnove za uvažavanjem navedenih prijedloga. </w:t>
            </w:r>
          </w:p>
          <w:p w14:paraId="3AA261D1" w14:textId="77777777" w:rsidR="002D5568" w:rsidRPr="008209B9" w:rsidRDefault="002D5568" w:rsidP="002D5568">
            <w:pPr>
              <w:jc w:val="both"/>
              <w:rPr>
                <w:rFonts w:ascii="Times New Roman" w:hAnsi="Times New Roman" w:cs="Times New Roman"/>
                <w:sz w:val="24"/>
                <w:szCs w:val="24"/>
              </w:rPr>
            </w:pPr>
          </w:p>
        </w:tc>
      </w:tr>
      <w:tr w:rsidR="002D5568" w14:paraId="25BEBD94" w14:textId="77777777" w:rsidTr="002D5568">
        <w:tc>
          <w:tcPr>
            <w:tcW w:w="3068" w:type="dxa"/>
            <w:shd w:val="clear" w:color="auto" w:fill="auto"/>
          </w:tcPr>
          <w:p w14:paraId="5381EF90" w14:textId="77777777" w:rsidR="002D5568" w:rsidRPr="008209B9" w:rsidRDefault="002D5568" w:rsidP="002D5568">
            <w:pPr>
              <w:rPr>
                <w:rFonts w:ascii="Times New Roman" w:hAnsi="Times New Roman" w:cs="Times New Roman"/>
                <w:b/>
                <w:sz w:val="24"/>
                <w:szCs w:val="24"/>
              </w:rPr>
            </w:pPr>
            <w:r w:rsidRPr="008209B9">
              <w:rPr>
                <w:rFonts w:ascii="Times New Roman" w:hAnsi="Times New Roman" w:cs="Times New Roman"/>
                <w:b/>
                <w:sz w:val="24"/>
                <w:szCs w:val="24"/>
              </w:rPr>
              <w:lastRenderedPageBreak/>
              <w:t>Troškovi provedenog savjetovanja</w:t>
            </w:r>
          </w:p>
        </w:tc>
        <w:tc>
          <w:tcPr>
            <w:tcW w:w="5857" w:type="dxa"/>
            <w:shd w:val="clear" w:color="auto" w:fill="auto"/>
          </w:tcPr>
          <w:p w14:paraId="3AD04AE5" w14:textId="77777777" w:rsidR="002D5568" w:rsidRPr="008209B9" w:rsidRDefault="002D5568" w:rsidP="002D5568">
            <w:pPr>
              <w:jc w:val="both"/>
              <w:rPr>
                <w:rFonts w:ascii="Times New Roman" w:hAnsi="Times New Roman" w:cs="Times New Roman"/>
                <w:sz w:val="24"/>
                <w:szCs w:val="24"/>
              </w:rPr>
            </w:pPr>
            <w:r w:rsidRPr="008209B9">
              <w:rPr>
                <w:rFonts w:ascii="Times New Roman" w:hAnsi="Times New Roman" w:cs="Times New Roman"/>
                <w:sz w:val="24"/>
                <w:szCs w:val="24"/>
              </w:rPr>
              <w:t>Provedba javnog savjetovanja nije iziskivala dodatne financijske troškove.</w:t>
            </w:r>
          </w:p>
          <w:p w14:paraId="63D60D07" w14:textId="77777777" w:rsidR="002D5568" w:rsidRPr="008209B9" w:rsidRDefault="002D5568" w:rsidP="002D5568">
            <w:pPr>
              <w:jc w:val="both"/>
              <w:rPr>
                <w:rFonts w:ascii="Times New Roman" w:hAnsi="Times New Roman" w:cs="Times New Roman"/>
                <w:sz w:val="24"/>
                <w:szCs w:val="24"/>
              </w:rPr>
            </w:pPr>
          </w:p>
        </w:tc>
      </w:tr>
    </w:tbl>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69D03FD9" w14:textId="77777777" w:rsidR="002D5568" w:rsidRDefault="002D5568" w:rsidP="002D5568"/>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59EFEEF5" w14:textId="64AF1B99" w:rsidR="00D707B3" w:rsidRPr="00B06427" w:rsidRDefault="00D707B3" w:rsidP="00D707B3">
      <w:pPr>
        <w:rPr>
          <w:rFonts w:ascii="Times New Roman" w:hAnsi="Times New Roman" w:cs="Times New Roman"/>
          <w:sz w:val="24"/>
          <w:szCs w:val="24"/>
        </w:rPr>
      </w:pPr>
    </w:p>
    <w:p w14:paraId="2CC29A52" w14:textId="77777777" w:rsidR="00D707B3" w:rsidRPr="00B06427" w:rsidRDefault="00D707B3" w:rsidP="00D707B3">
      <w:pPr>
        <w:rPr>
          <w:rFonts w:ascii="Times New Roman" w:hAnsi="Times New Roman" w:cs="Times New Roman"/>
          <w:sz w:val="24"/>
          <w:szCs w:val="24"/>
        </w:rPr>
      </w:pPr>
    </w:p>
    <w:p w14:paraId="188AD906"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25AF0A8B"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3CCCC6FC"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2312FA0A"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1DD94E1F"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160A7FB2"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1ED1D710"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38EE5CB4"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p w14:paraId="3455FC12" w14:textId="77777777" w:rsidR="000E78FB" w:rsidRPr="00B06427" w:rsidRDefault="000E78FB" w:rsidP="00792FE8">
      <w:pPr>
        <w:ind w:left="-709" w:firstLine="720"/>
        <w:rPr>
          <w:rFonts w:ascii="Times New Roman" w:eastAsia="Times New Roman" w:hAnsi="Times New Roman" w:cs="Times New Roman"/>
          <w:bCs/>
          <w:noProof w:val="0"/>
          <w:sz w:val="24"/>
          <w:szCs w:val="24"/>
          <w:lang w:eastAsia="hr-HR"/>
        </w:rPr>
      </w:pPr>
    </w:p>
    <w:sectPr w:rsidR="000E78FB" w:rsidRPr="00B06427" w:rsidSect="00DE337C">
      <w:headerReference w:type="default" r:id="rId9"/>
      <w:footerReference w:type="default" r:id="rId10"/>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507B" w14:textId="77777777" w:rsidR="0001188A" w:rsidRDefault="0001188A" w:rsidP="00B06427">
      <w:r>
        <w:separator/>
      </w:r>
    </w:p>
  </w:endnote>
  <w:endnote w:type="continuationSeparator" w:id="0">
    <w:p w14:paraId="2BE8BF51" w14:textId="77777777" w:rsidR="0001188A" w:rsidRDefault="0001188A"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70AD" w14:textId="77777777" w:rsidR="0001188A" w:rsidRDefault="0001188A" w:rsidP="00B06427">
      <w:r>
        <w:separator/>
      </w:r>
    </w:p>
  </w:footnote>
  <w:footnote w:type="continuationSeparator" w:id="0">
    <w:p w14:paraId="48A9AF1C" w14:textId="77777777" w:rsidR="0001188A" w:rsidRDefault="0001188A"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1188A"/>
    <w:rsid w:val="000162CB"/>
    <w:rsid w:val="00077D7B"/>
    <w:rsid w:val="000B4403"/>
    <w:rsid w:val="000E78FB"/>
    <w:rsid w:val="0015659A"/>
    <w:rsid w:val="002D5568"/>
    <w:rsid w:val="003D4AC4"/>
    <w:rsid w:val="004853FD"/>
    <w:rsid w:val="004F13D0"/>
    <w:rsid w:val="004F34B4"/>
    <w:rsid w:val="0065582C"/>
    <w:rsid w:val="00693AB1"/>
    <w:rsid w:val="00776483"/>
    <w:rsid w:val="00792FE8"/>
    <w:rsid w:val="008209B9"/>
    <w:rsid w:val="00897FCA"/>
    <w:rsid w:val="008A562A"/>
    <w:rsid w:val="008C5FE5"/>
    <w:rsid w:val="00A836D0"/>
    <w:rsid w:val="00AC35DA"/>
    <w:rsid w:val="00B06427"/>
    <w:rsid w:val="00B92D0F"/>
    <w:rsid w:val="00C9578C"/>
    <w:rsid w:val="00D707B3"/>
    <w:rsid w:val="00DE337C"/>
    <w:rsid w:val="00F04D33"/>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na-zastita.gov.hr/dokumenti-91/91" TargetMode="External"/><Relationship Id="rId3" Type="http://schemas.openxmlformats.org/officeDocument/2006/relationships/settings" Target="settings.xml"/><Relationship Id="rId7" Type="http://schemas.openxmlformats.org/officeDocument/2006/relationships/hyperlink" Target="http://www.kzz.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Marija Bedeniković</cp:lastModifiedBy>
  <cp:revision>6</cp:revision>
  <cp:lastPrinted>2014-11-26T14:09:00Z</cp:lastPrinted>
  <dcterms:created xsi:type="dcterms:W3CDTF">2024-03-21T10:51:00Z</dcterms:created>
  <dcterms:modified xsi:type="dcterms:W3CDTF">2025-05-21T07:59:00Z</dcterms:modified>
</cp:coreProperties>
</file>