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7D6F" w14:textId="77777777" w:rsidR="00B16C72" w:rsidRDefault="00713D93">
      <w:pPr>
        <w:jc w:val="center"/>
      </w:pPr>
      <w:r>
        <w:rPr>
          <w:rFonts w:ascii="Noway Round" w:hAnsi="Noway Round"/>
          <w:b/>
          <w:noProof/>
          <w:color w:val="A5A5A5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7F6917B7" wp14:editId="7DBFC6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90341" cy="1282702"/>
            <wp:effectExtent l="0" t="0" r="0" b="0"/>
            <wp:wrapNone/>
            <wp:docPr id="1576675162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341" cy="12827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E0C218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56830A74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C34E82B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14BBA645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DE6673A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0B1304D3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3ACC3BA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45DDB5CC" w14:textId="77777777" w:rsidR="00B16C72" w:rsidRDefault="00713D93">
      <w:pPr>
        <w:jc w:val="center"/>
      </w:pPr>
      <w:r>
        <w:rPr>
          <w:rFonts w:ascii="Noway Round" w:hAnsi="Noway Roun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D8E8" wp14:editId="70E82268">
                <wp:simplePos x="0" y="0"/>
                <wp:positionH relativeFrom="column">
                  <wp:posOffset>338135</wp:posOffset>
                </wp:positionH>
                <wp:positionV relativeFrom="paragraph">
                  <wp:posOffset>90168</wp:posOffset>
                </wp:positionV>
                <wp:extent cx="6141723" cy="2247266"/>
                <wp:effectExtent l="0" t="0" r="0" b="634"/>
                <wp:wrapNone/>
                <wp:docPr id="112757208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3" cy="2247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7F13D1" w14:textId="77777777" w:rsidR="00B16C72" w:rsidRDefault="00B16C72">
                            <w:pPr>
                              <w:pBdr>
                                <w:left w:val="single" w:sz="12" w:space="4" w:color="EE0000"/>
                              </w:pBd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7F7F7F"/>
                                <w:sz w:val="52"/>
                                <w:szCs w:val="52"/>
                              </w:rPr>
                            </w:pPr>
                          </w:p>
                          <w:p w14:paraId="4827FAF0" w14:textId="77777777" w:rsidR="00B16C72" w:rsidRDefault="00B16C72">
                            <w:pPr>
                              <w:pBdr>
                                <w:left w:val="single" w:sz="12" w:space="4" w:color="EE0000"/>
                              </w:pBd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7F7F7F"/>
                                <w:sz w:val="52"/>
                                <w:szCs w:val="52"/>
                              </w:rPr>
                            </w:pPr>
                          </w:p>
                          <w:p w14:paraId="40D2A400" w14:textId="77777777" w:rsidR="00B16C72" w:rsidRDefault="00713D93">
                            <w:pPr>
                              <w:pBdr>
                                <w:left w:val="single" w:sz="12" w:space="4" w:color="EE0000"/>
                              </w:pBdr>
                              <w:spacing w:after="0" w:line="240" w:lineRule="auto"/>
                            </w:pPr>
                            <w:r>
                              <w:rPr>
                                <w:rFonts w:ascii="Calibri Light" w:hAnsi="Calibri Light" w:cs="Calibri Light"/>
                                <w:color w:val="7F7F7F"/>
                                <w:sz w:val="52"/>
                                <w:szCs w:val="52"/>
                              </w:rPr>
                              <w:t>JAVNI POZIV ZA DODJELU ZAJMOVA</w:t>
                            </w:r>
                          </w:p>
                          <w:p w14:paraId="6BEA7388" w14:textId="77777777" w:rsidR="00B16C72" w:rsidRDefault="00B16C72">
                            <w:pPr>
                              <w:pBdr>
                                <w:left w:val="single" w:sz="12" w:space="4" w:color="EE0000"/>
                              </w:pBd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7F7F7F"/>
                                <w:sz w:val="34"/>
                                <w:szCs w:val="34"/>
                              </w:rPr>
                            </w:pPr>
                          </w:p>
                          <w:p w14:paraId="1C5F18F3" w14:textId="77777777" w:rsidR="00B16C72" w:rsidRDefault="00713D93">
                            <w:pPr>
                              <w:pBdr>
                                <w:left w:val="single" w:sz="12" w:space="4" w:color="EE0000"/>
                              </w:pBd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7F7F7F"/>
                                <w:sz w:val="34"/>
                                <w:szCs w:val="34"/>
                              </w:rPr>
                            </w:pPr>
                            <w:bookmarkStart w:id="0" w:name="_Hlk83065577"/>
                            <w:bookmarkStart w:id="1" w:name="_Hlk83065578"/>
                            <w:r>
                              <w:rPr>
                                <w:rFonts w:ascii="Calibri Light" w:hAnsi="Calibri Light" w:cs="Calibri Light"/>
                                <w:color w:val="7F7F7F"/>
                                <w:sz w:val="34"/>
                                <w:szCs w:val="34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2D8E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26.6pt;margin-top:7.1pt;width:483.6pt;height:17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" stroked="f">
                <v:textbox>
                  <w:txbxContent>
                    <w:p w14:paraId="0A7F13D1" w14:textId="77777777" w:rsidR="00B16C72" w:rsidRDefault="00B16C72">
                      <w:pPr>
                        <w:pBdr>
                          <w:left w:val="single" w:sz="12" w:space="4" w:color="EE0000"/>
                        </w:pBdr>
                        <w:spacing w:after="0" w:line="240" w:lineRule="auto"/>
                        <w:rPr>
                          <w:rFonts w:ascii="Calibri Light" w:hAnsi="Calibri Light" w:cs="Calibri Light"/>
                          <w:color w:val="7F7F7F"/>
                          <w:sz w:val="52"/>
                          <w:szCs w:val="52"/>
                        </w:rPr>
                      </w:pPr>
                    </w:p>
                    <w:p w14:paraId="4827FAF0" w14:textId="77777777" w:rsidR="00B16C72" w:rsidRDefault="00B16C72">
                      <w:pPr>
                        <w:pBdr>
                          <w:left w:val="single" w:sz="12" w:space="4" w:color="EE0000"/>
                        </w:pBdr>
                        <w:spacing w:after="0" w:line="240" w:lineRule="auto"/>
                        <w:rPr>
                          <w:rFonts w:ascii="Calibri Light" w:hAnsi="Calibri Light" w:cs="Calibri Light"/>
                          <w:color w:val="7F7F7F"/>
                          <w:sz w:val="52"/>
                          <w:szCs w:val="52"/>
                        </w:rPr>
                      </w:pPr>
                    </w:p>
                    <w:p w14:paraId="40D2A400" w14:textId="77777777" w:rsidR="00B16C72" w:rsidRDefault="00713D93">
                      <w:pPr>
                        <w:pBdr>
                          <w:left w:val="single" w:sz="12" w:space="4" w:color="EE0000"/>
                        </w:pBdr>
                        <w:spacing w:after="0" w:line="240" w:lineRule="auto"/>
                      </w:pPr>
                      <w:r>
                        <w:rPr>
                          <w:rFonts w:ascii="Calibri Light" w:hAnsi="Calibri Light" w:cs="Calibri Light"/>
                          <w:color w:val="7F7F7F"/>
                          <w:sz w:val="52"/>
                          <w:szCs w:val="52"/>
                        </w:rPr>
                        <w:t>JAVNI POZIV ZA DODJELU ZAJMOVA</w:t>
                      </w:r>
                    </w:p>
                    <w:p w14:paraId="6BEA7388" w14:textId="77777777" w:rsidR="00B16C72" w:rsidRDefault="00B16C72">
                      <w:pPr>
                        <w:pBdr>
                          <w:left w:val="single" w:sz="12" w:space="4" w:color="EE0000"/>
                        </w:pBdr>
                        <w:spacing w:after="0" w:line="240" w:lineRule="auto"/>
                        <w:rPr>
                          <w:rFonts w:ascii="Calibri Light" w:hAnsi="Calibri Light" w:cs="Calibri Light"/>
                          <w:color w:val="7F7F7F"/>
                          <w:sz w:val="34"/>
                          <w:szCs w:val="34"/>
                        </w:rPr>
                      </w:pPr>
                    </w:p>
                    <w:p w14:paraId="1C5F18F3" w14:textId="77777777" w:rsidR="00B16C72" w:rsidRDefault="00713D93">
                      <w:pPr>
                        <w:pBdr>
                          <w:left w:val="single" w:sz="12" w:space="4" w:color="EE0000"/>
                        </w:pBdr>
                        <w:spacing w:after="0" w:line="240" w:lineRule="auto"/>
                        <w:rPr>
                          <w:rFonts w:ascii="Calibri Light" w:hAnsi="Calibri Light" w:cs="Calibri Light"/>
                          <w:color w:val="7F7F7F"/>
                          <w:sz w:val="34"/>
                          <w:szCs w:val="34"/>
                        </w:rPr>
                      </w:pPr>
                      <w:bookmarkStart w:id="2" w:name="_Hlk83065577"/>
                      <w:bookmarkStart w:id="3" w:name="_Hlk83065578"/>
                      <w:r>
                        <w:rPr>
                          <w:rFonts w:ascii="Calibri Light" w:hAnsi="Calibri Light" w:cs="Calibri Light"/>
                          <w:color w:val="7F7F7F"/>
                          <w:sz w:val="34"/>
                          <w:szCs w:val="34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65943D6E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03059B80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092B3E9E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5B0DE0F5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3E7BF242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3409A1AC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08C1933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49AFB1F0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44A1A21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59D94AF0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001CC936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6B5FBEEF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532CB802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59BFD37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C4E14AC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5A7C07B0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633FD8DB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236F354F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7C5CD2D0" w14:textId="77777777" w:rsidR="00B16C72" w:rsidRDefault="00B16C72">
      <w:pPr>
        <w:jc w:val="center"/>
        <w:rPr>
          <w:rFonts w:ascii="Calibri Light" w:hAnsi="Calibri Light" w:cs="Calibri Light"/>
          <w:b/>
          <w:bCs/>
        </w:rPr>
      </w:pPr>
    </w:p>
    <w:p w14:paraId="101081D5" w14:textId="77777777" w:rsidR="00B16C72" w:rsidRDefault="00713D93">
      <w:pPr>
        <w:jc w:val="center"/>
      </w:pPr>
      <w:r>
        <w:rPr>
          <w:rFonts w:ascii="Calibri Light" w:hAnsi="Calibri Light" w:cs="Calibri Light"/>
          <w:b/>
          <w:bCs/>
        </w:rPr>
        <w:lastRenderedPageBreak/>
        <w:t>Poduzetnički centar Krapinsko-zagorske županije d.o.o.</w:t>
      </w:r>
    </w:p>
    <w:p w14:paraId="64517D0D" w14:textId="77777777" w:rsidR="00B16C72" w:rsidRDefault="00713D93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 temelju Pravilnika o dodjeli zajmova iz Programa START zajam</w:t>
      </w:r>
    </w:p>
    <w:p w14:paraId="2537502A" w14:textId="77777777" w:rsidR="00B16C72" w:rsidRDefault="00713D93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raspisuje</w:t>
      </w:r>
    </w:p>
    <w:p w14:paraId="560B1913" w14:textId="77777777" w:rsidR="00B16C72" w:rsidRDefault="00713D93">
      <w:pPr>
        <w:spacing w:before="240"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JAVNI POZIV</w:t>
      </w:r>
    </w:p>
    <w:p w14:paraId="02CDC220" w14:textId="77777777" w:rsidR="00B16C72" w:rsidRDefault="00713D93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za dodjelu zajmova</w:t>
      </w:r>
    </w:p>
    <w:p w14:paraId="2A9CFF65" w14:textId="77777777" w:rsidR="00B16C72" w:rsidRDefault="00713D93">
      <w:pPr>
        <w:spacing w:before="36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 PREDMET JAVNOG POZIVA</w:t>
      </w:r>
    </w:p>
    <w:p w14:paraId="63FEA141" w14:textId="77777777" w:rsidR="00B16C72" w:rsidRDefault="00713D93">
      <w:pPr>
        <w:jc w:val="both"/>
      </w:pPr>
      <w:r>
        <w:rPr>
          <w:rFonts w:ascii="Calibri Light" w:hAnsi="Calibri Light" w:cs="Calibri Light"/>
        </w:rPr>
        <w:t>Predmet javnog poziva je dodjela zajmova s ciljem olakšavanja pristupa financiranju mikro i malim poduzetnicima u ranoj fazi razvoja te poticanja njihovog rasta i povećanja otpornosti sukladno Pravilniku o dodjeli zajmova iz Programa START zajam (u daljnjem tekstu: Pravilnik).</w:t>
      </w:r>
    </w:p>
    <w:p w14:paraId="3A7D2A1B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Obavijest o objavi javnog poziva objavljuje se na internetskoj stranici Poduzetničkog centra Krapinsko-zagorske županije d.o.o. (u daljnjem tekstu: PCKZŽ) (poduzetnickicentar-kzz.hr).</w:t>
      </w:r>
    </w:p>
    <w:p w14:paraId="6EC5326F" w14:textId="77777777" w:rsidR="00B16C72" w:rsidRDefault="00713D93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 KORISNICI ZAJMA</w:t>
      </w:r>
    </w:p>
    <w:p w14:paraId="1E2CCA5B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Korisnici zajma mogu biti isključivo mikro i mala poduzeća (definirana sukladno Preporuci Europske komisije 2003/361/EC od 6. svibnja 2003. o definiciji mikro, malih i srednjih poduzetnika (SL L 124, 20.5.2003.)), i to društva koja su osnovana kraće od sedam godina u trenutku podnošenja zahtjeva za odobrenje zajma odnosno koji kumulativno ispunjavaju sljedeće uvjete:</w:t>
      </w:r>
    </w:p>
    <w:p w14:paraId="375BCC9E" w14:textId="77777777" w:rsidR="00B16C72" w:rsidRDefault="00713D93">
      <w:pPr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imaju status mikro ili malog poduzeća prema definiciji iz Priloga I. Uredbe (EU) 651/2014,</w:t>
      </w:r>
    </w:p>
    <w:p w14:paraId="57C58EC8" w14:textId="700F5BAA" w:rsidR="00B16C72" w:rsidRDefault="00713D93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posluju manje od 7 godina od dana </w:t>
      </w:r>
      <w:r w:rsidR="000D306F">
        <w:rPr>
          <w:rFonts w:ascii="Calibri Light" w:hAnsi="Calibri Light" w:cs="Calibri Light"/>
        </w:rPr>
        <w:t>registracije</w:t>
      </w:r>
      <w:r>
        <w:rPr>
          <w:rFonts w:ascii="Calibri Light" w:hAnsi="Calibri Light" w:cs="Calibri Light"/>
        </w:rPr>
        <w:t>,</w:t>
      </w:r>
    </w:p>
    <w:p w14:paraId="51037023" w14:textId="77777777" w:rsidR="00B16C72" w:rsidRDefault="00713D93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imaju sjedište i posluju na području Republike Hrvatske,</w:t>
      </w:r>
    </w:p>
    <w:p w14:paraId="0BF1D49F" w14:textId="77777777" w:rsidR="00B16C72" w:rsidRDefault="00713D93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nisu osnovani spajanjem, preuzimanjem ili izdvajanjem iz drugih subjekata,</w:t>
      </w:r>
    </w:p>
    <w:p w14:paraId="57768C6F" w14:textId="77777777" w:rsidR="00B16C72" w:rsidRDefault="00713D93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nisu u vlasništvu povezanih osoba koje su već koristile zajam iz ovog programa,</w:t>
      </w:r>
    </w:p>
    <w:p w14:paraId="79F672C2" w14:textId="77777777" w:rsidR="00B16C72" w:rsidRDefault="00713D93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ne isplaćuju dobit za vrijeme trajanja ugovora o zajmu,</w:t>
      </w:r>
    </w:p>
    <w:p w14:paraId="7E9D8704" w14:textId="77777777" w:rsidR="00B16C72" w:rsidRDefault="00713D93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imaju podmirene obveze prema državi i zaposlenicima,</w:t>
      </w:r>
    </w:p>
    <w:p w14:paraId="7C519F1B" w14:textId="77777777" w:rsidR="00B16C72" w:rsidRDefault="00713D93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nisu u postupku predstečajne nagodbe, stečaja ili likvidacije.</w:t>
      </w:r>
    </w:p>
    <w:p w14:paraId="6251DC59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Zajmovi se dodjeljuju poslovnim subjektima koji sudjeluju u programima PCKZŽ-a i s kojima je PCKZŽ u ugovornom odnosu temeljem važećeg ugovora o inkubaciji, akceleraciji, internacionalizaciji i slično, a sukladno važećem Pravilniku o korištenju usluga Poslovno tehnološkog inkubatora Krapinsko-zagorske županije te pojedinačnim ugovorima o sudjelovanju u programu akceleracije i pružanju nefinancijske potpore u okviru konzorcija SPRINT. </w:t>
      </w:r>
    </w:p>
    <w:p w14:paraId="797F20D0" w14:textId="77777777" w:rsidR="00B16C72" w:rsidRDefault="00713D93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III NAMJENA ZAJMA</w:t>
      </w:r>
    </w:p>
    <w:p w14:paraId="1D1ACDA4" w14:textId="77777777" w:rsidR="00B16C72" w:rsidRDefault="00713D93" w:rsidP="000D306F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Zajam se može koristiti za sljedeće namjene i pripadajuće prihvatljive troškove:</w:t>
      </w:r>
    </w:p>
    <w:p w14:paraId="284FCCA5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a) Razvoj i/ili dorada proizvoda ili usluge:</w:t>
      </w:r>
    </w:p>
    <w:p w14:paraId="186A9509" w14:textId="77777777" w:rsidR="00B16C72" w:rsidRDefault="00713D93">
      <w:pPr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troškovi izrade prototipa,</w:t>
      </w:r>
    </w:p>
    <w:p w14:paraId="4BE42B7F" w14:textId="77777777" w:rsidR="00B16C72" w:rsidRDefault="00713D93">
      <w:pPr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usluge razvoja softverskih rješenja,</w:t>
      </w:r>
    </w:p>
    <w:p w14:paraId="0B658DF1" w14:textId="77777777" w:rsidR="00B16C72" w:rsidRDefault="00713D93">
      <w:pPr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materijal za testne serije ili izradu MVP-a,</w:t>
      </w:r>
    </w:p>
    <w:p w14:paraId="5203121E" w14:textId="77777777" w:rsidR="00B16C72" w:rsidRDefault="00713D93">
      <w:pPr>
        <w:numPr>
          <w:ilvl w:val="0"/>
          <w:numId w:val="3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usluge dizajna i tehničke dorade proizvoda,</w:t>
      </w:r>
    </w:p>
    <w:p w14:paraId="5ADAF23F" w14:textId="77777777" w:rsidR="00B16C72" w:rsidRDefault="00713D93" w:rsidP="000D306F">
      <w:pPr>
        <w:numPr>
          <w:ilvl w:val="0"/>
          <w:numId w:val="3"/>
        </w:numPr>
        <w:spacing w:after="12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nabava opreme potrebne za doradu, testiranje i/ili nadogradnju postojećih proizvoda ili usluga.</w:t>
      </w:r>
    </w:p>
    <w:p w14:paraId="1C8C4390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b) Validacija tržišta:</w:t>
      </w:r>
    </w:p>
    <w:p w14:paraId="4C08BBA3" w14:textId="77777777" w:rsidR="00B16C72" w:rsidRDefault="00713D93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troškovi provođenja istraživanja tržišta,</w:t>
      </w:r>
    </w:p>
    <w:p w14:paraId="06132B45" w14:textId="77777777" w:rsidR="00B16C72" w:rsidRDefault="00713D93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izrada pilot projekata ili testiranja s korisnicima,</w:t>
      </w:r>
    </w:p>
    <w:p w14:paraId="286F9B62" w14:textId="77777777" w:rsidR="00B16C72" w:rsidRDefault="00713D93">
      <w:pPr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sudjelovanje na sajmovima, izložbama i B2B događanjima,</w:t>
      </w:r>
    </w:p>
    <w:p w14:paraId="5CA8C39C" w14:textId="77777777" w:rsidR="00B16C72" w:rsidRDefault="00713D93" w:rsidP="000D306F">
      <w:pPr>
        <w:numPr>
          <w:ilvl w:val="0"/>
          <w:numId w:val="4"/>
        </w:numPr>
        <w:spacing w:after="12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usluge savjetovanja vezane uz tržišnu analizu i pozicioniranje.</w:t>
      </w:r>
    </w:p>
    <w:p w14:paraId="51651CAD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c) Digitalizacija poslovnih procesa:</w:t>
      </w:r>
    </w:p>
    <w:p w14:paraId="2F09ECFE" w14:textId="77777777" w:rsidR="00B16C72" w:rsidRDefault="00713D93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nabava i implementacija softverskih alata (ERP, CRM, e-</w:t>
      </w:r>
      <w:proofErr w:type="spellStart"/>
      <w:r>
        <w:rPr>
          <w:rFonts w:ascii="Calibri Light" w:hAnsi="Calibri Light" w:cs="Calibri Light"/>
        </w:rPr>
        <w:t>commerce</w:t>
      </w:r>
      <w:proofErr w:type="spellEnd"/>
      <w:r>
        <w:rPr>
          <w:rFonts w:ascii="Calibri Light" w:hAnsi="Calibri Light" w:cs="Calibri Light"/>
        </w:rPr>
        <w:t xml:space="preserve"> itd.),</w:t>
      </w:r>
    </w:p>
    <w:p w14:paraId="2AD5A571" w14:textId="77777777" w:rsidR="00B16C72" w:rsidRDefault="00713D93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razvoj digitalne platforme ili aplikacije,</w:t>
      </w:r>
    </w:p>
    <w:p w14:paraId="6138995F" w14:textId="77777777" w:rsidR="00B16C72" w:rsidRDefault="00713D93">
      <w:pPr>
        <w:numPr>
          <w:ilvl w:val="0"/>
          <w:numId w:val="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trošak hostinga, domena i stručnih usluga postavljanja sustava,</w:t>
      </w:r>
    </w:p>
    <w:p w14:paraId="5360A9A0" w14:textId="77777777" w:rsidR="00B16C72" w:rsidRDefault="00713D93" w:rsidP="000D306F">
      <w:pPr>
        <w:numPr>
          <w:ilvl w:val="0"/>
          <w:numId w:val="5"/>
        </w:numPr>
        <w:spacing w:after="12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edukacija zaposlenika za rad s digitalnim alatima.</w:t>
      </w:r>
    </w:p>
    <w:p w14:paraId="3E585058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d) Promocija i izlazak na tržište:</w:t>
      </w:r>
    </w:p>
    <w:p w14:paraId="5D0F050D" w14:textId="77777777" w:rsidR="00B16C72" w:rsidRDefault="00713D93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trošak izrade web stranice i vizualnog identiteta,</w:t>
      </w:r>
    </w:p>
    <w:p w14:paraId="2441AFB2" w14:textId="77777777" w:rsidR="00B16C72" w:rsidRDefault="00713D93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digitalno oglašavanje (Google, društvene mreže),</w:t>
      </w:r>
    </w:p>
    <w:p w14:paraId="06FE0FB1" w14:textId="77777777" w:rsidR="00B16C72" w:rsidRDefault="00713D93">
      <w:pPr>
        <w:numPr>
          <w:ilvl w:val="0"/>
          <w:numId w:val="6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promotivne kampanje i promotivni materijali,</w:t>
      </w:r>
    </w:p>
    <w:p w14:paraId="5BACAC7A" w14:textId="77777777" w:rsidR="00B16C72" w:rsidRDefault="00713D93" w:rsidP="000D306F">
      <w:pPr>
        <w:numPr>
          <w:ilvl w:val="0"/>
          <w:numId w:val="6"/>
        </w:numPr>
        <w:spacing w:after="12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trošak PR usluga i komunikacijskih strategija.</w:t>
      </w:r>
    </w:p>
    <w:p w14:paraId="0A61A07C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e) Obrtna sredstva (do 70% ukupnog iznosa zajma):</w:t>
      </w:r>
    </w:p>
    <w:p w14:paraId="5E56788E" w14:textId="77777777" w:rsidR="00B16C72" w:rsidRDefault="00713D93">
      <w:pPr>
        <w:numPr>
          <w:ilvl w:val="0"/>
          <w:numId w:val="7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nabava sirovina i repromaterijala,</w:t>
      </w:r>
    </w:p>
    <w:p w14:paraId="365BD2AD" w14:textId="77777777" w:rsidR="00B16C72" w:rsidRDefault="00713D93">
      <w:pPr>
        <w:numPr>
          <w:ilvl w:val="0"/>
          <w:numId w:val="7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troškovi najma prostora i komunalnih usluga,</w:t>
      </w:r>
    </w:p>
    <w:p w14:paraId="7BAE10AF" w14:textId="77777777" w:rsidR="00B16C72" w:rsidRDefault="00713D93">
      <w:pPr>
        <w:numPr>
          <w:ilvl w:val="0"/>
          <w:numId w:val="7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troškovi vanjskih usluga nužnih za provedbu aktivnosti,</w:t>
      </w:r>
    </w:p>
    <w:p w14:paraId="5FC3019C" w14:textId="77777777" w:rsidR="00B16C72" w:rsidRDefault="00713D93">
      <w:pPr>
        <w:numPr>
          <w:ilvl w:val="0"/>
          <w:numId w:val="7"/>
        </w:numPr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troškovi plaća za uključeno osoblje tijekom provedbe aktivnosti.</w:t>
      </w:r>
    </w:p>
    <w:p w14:paraId="3EB2CEC8" w14:textId="79295835" w:rsidR="00B16C72" w:rsidRDefault="00713D93" w:rsidP="000D306F">
      <w:pPr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hAnsi="Calibri Light" w:cs="Calibri Light"/>
        </w:rPr>
        <w:t xml:space="preserve">Prihvatljivi su troškovi nastali isključivo nakon sklapanja ugovora o zajmu. </w:t>
      </w:r>
      <w:r w:rsidR="00F547C8">
        <w:rPr>
          <w:rFonts w:ascii="Calibri Light" w:hAnsi="Calibri Light" w:cs="Calibri Light"/>
        </w:rPr>
        <w:t xml:space="preserve"> </w:t>
      </w:r>
      <w:r>
        <w:rPr>
          <w:rFonts w:ascii="Calibri Light" w:eastAsia="Times New Roman" w:hAnsi="Calibri Light" w:cs="Calibri Light"/>
          <w:lang w:eastAsia="hr-HR"/>
        </w:rPr>
        <w:t>Iznos zajma za korisnike koji su u sustavu PDV-a ne može uključivati PDV.</w:t>
      </w:r>
    </w:p>
    <w:p w14:paraId="6CB3922A" w14:textId="77777777" w:rsidR="00B16C72" w:rsidRDefault="00713D93">
      <w:pPr>
        <w:autoSpaceDE w:val="0"/>
        <w:spacing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Svi projekti, odnosno troškovi koji se u cijelosti ili djelomično financiraju na temelju Ugovora o zajmu, moraju biti u skladu sa svim pozitivnim propisima, uključujući, ali ne ograničavajući se poglavito na okoliš i propise iz područja zaštite okoliša.</w:t>
      </w:r>
    </w:p>
    <w:p w14:paraId="3FFB4859" w14:textId="77777777" w:rsidR="00B16C72" w:rsidRDefault="00713D93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IV KRITERIJI ZA ODOBRAVANJE I UVJETI ZAJMOVA</w:t>
      </w:r>
    </w:p>
    <w:p w14:paraId="2613582C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Zahtjevi za zajam ocjenjuju se prema sljedećim kriterijima:</w:t>
      </w: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7746"/>
        <w:gridCol w:w="1560"/>
      </w:tblGrid>
      <w:tr w:rsidR="00B16C72" w14:paraId="3A18FE9F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61A8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BROJ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436C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KRITERIJ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5475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BODOVI</w:t>
            </w:r>
          </w:p>
        </w:tc>
      </w:tr>
      <w:tr w:rsidR="00B16C72" w14:paraId="3138681E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E5D0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4469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Potencijal za rast i razvoj poslovanja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670F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 – 25 bodova</w:t>
            </w:r>
          </w:p>
        </w:tc>
      </w:tr>
      <w:tr w:rsidR="00B16C72" w14:paraId="2D26BECE" w14:textId="77777777" w:rsidTr="000D306F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0D2F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9D1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Poslovni plan prikazuje jasan i realan rast prihoda i zaposlenosti ≥ 50% u 2 godine; plan skaliranja detaljan, s definiranim resursima.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4D1B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21 - 25</w:t>
            </w:r>
          </w:p>
        </w:tc>
      </w:tr>
      <w:tr w:rsidR="00B16C72" w14:paraId="575F5266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AEF1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1FAE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Očekivani rast postoji, ali djelomično je obrazložen; skaliranje planirano, ali bez potpune razrade.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1EAA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11-20</w:t>
            </w:r>
          </w:p>
        </w:tc>
      </w:tr>
      <w:tr w:rsidR="00B16C72" w14:paraId="2ED55ABF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E972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A4D0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Rast se navodi, ali nije potkrijepljen podacima; nedostaje strategija rasta.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6B4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1-10</w:t>
            </w:r>
          </w:p>
        </w:tc>
      </w:tr>
      <w:tr w:rsidR="00B16C72" w14:paraId="46D534BA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25AE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6B51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Ne postoji realan plan rasta; poslovni plan ne nudi elemente razvoja.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B381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B16C72" w14:paraId="68BDC4D0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ADBE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3A9F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Izvori provjere: </w:t>
            </w:r>
          </w:p>
          <w:p w14:paraId="52C7D57B" w14:textId="77777777" w:rsidR="00B16C72" w:rsidRDefault="00713D93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Poslovni plan</w:t>
            </w:r>
          </w:p>
          <w:p w14:paraId="0B5576DD" w14:textId="77777777" w:rsidR="00B16C72" w:rsidRDefault="00713D93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Dokazi o prethodnim aktivnostima (ako postoje)</w:t>
            </w:r>
          </w:p>
        </w:tc>
      </w:tr>
      <w:tr w:rsidR="00B16C72" w14:paraId="5D54A895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592C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BF42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Inovativnost poslovne ideje ili rješenja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0B63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 – 20 bodova</w:t>
            </w:r>
          </w:p>
        </w:tc>
      </w:tr>
      <w:tr w:rsidR="00B16C72" w14:paraId="4F661340" w14:textId="77777777" w:rsidTr="000D306F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513F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8DB1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Ideja je jasno inovativna na razini tržišta/tehnologije; postoje dokazi o novosti (IP, jedinstvena rješenja).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94CA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17-20</w:t>
            </w:r>
          </w:p>
        </w:tc>
      </w:tr>
      <w:tr w:rsidR="00B16C72" w14:paraId="654A02C2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607C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2D8B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Ideja donosi manju novinu ili kombinaciju postojećih rješenja; inovacija ograničena na poslovni model.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05B0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9-16</w:t>
            </w:r>
          </w:p>
        </w:tc>
      </w:tr>
      <w:tr w:rsidR="00B16C72" w14:paraId="3B4327AE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B3CD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ABD1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Niska razina inovacije; djelomična dorada poznatih rješenja.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63CA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1-8</w:t>
            </w:r>
          </w:p>
        </w:tc>
      </w:tr>
      <w:tr w:rsidR="00B16C72" w14:paraId="440E6749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1C40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752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Ideja nije inovativna; radi se o repliciranju postojeće ponude bez unapređenja.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31F5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B16C72" w14:paraId="763A55BE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28D8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D1B0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Izvori provjere: </w:t>
            </w:r>
          </w:p>
          <w:p w14:paraId="7C5D4A70" w14:textId="77777777" w:rsidR="00B16C72" w:rsidRDefault="00713D93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Poslovni plan</w:t>
            </w:r>
          </w:p>
          <w:p w14:paraId="1CFECE3A" w14:textId="77777777" w:rsidR="00B16C72" w:rsidRDefault="00713D93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Potvrde o prijavi patenta, dizajna itd.</w:t>
            </w:r>
          </w:p>
        </w:tc>
      </w:tr>
      <w:tr w:rsidR="00B16C72" w14:paraId="1F443BD5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F9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072E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Jasnoća i provedivost plana ulaganja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59D0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 – 20 bodova</w:t>
            </w:r>
          </w:p>
        </w:tc>
      </w:tr>
      <w:tr w:rsidR="00B16C72" w14:paraId="3F8A4F3D" w14:textId="77777777" w:rsidTr="000D306F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27DC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F5C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Plan ulaganja jasno strukturiran, vremenski realan, s povezanim troškovima i aktivnostima; sve logično i dokumentirano.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A4E1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17-20</w:t>
            </w:r>
          </w:p>
        </w:tc>
      </w:tr>
      <w:tr w:rsidR="00B16C72" w14:paraId="5A5B99E4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A89C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2D29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Plan ulaganja postoji, ali pojedini dijelovi su nedovoljno obrazloženi ili vremenski neusklađeni.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3220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9-16</w:t>
            </w:r>
          </w:p>
        </w:tc>
      </w:tr>
      <w:tr w:rsidR="00B16C72" w14:paraId="63590773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660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A37D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Opis ulaganja je površan, troškovi su generički i bez obrazloženja.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B83F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1-8</w:t>
            </w:r>
          </w:p>
        </w:tc>
      </w:tr>
      <w:tr w:rsidR="00B16C72" w14:paraId="50A0443C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BA51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92B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Nema jasnog opisa ulaganja ni vremenskog plana; ulaganje je neprovedivo.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2F6E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B16C72" w14:paraId="0B54D0A4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9142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5431" w14:textId="231B56AD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Izvori provjere: </w:t>
            </w:r>
          </w:p>
          <w:p w14:paraId="1439FC86" w14:textId="2538031B" w:rsidR="00B16C72" w:rsidRDefault="00713D93" w:rsidP="002A449F">
            <w:pPr>
              <w:numPr>
                <w:ilvl w:val="0"/>
                <w:numId w:val="8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Poslovni plan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8C4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16C72" w14:paraId="09261D50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E83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4825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Kompetencije i motivacija poduzetničkog tima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75D5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 – 10 bodova</w:t>
            </w:r>
          </w:p>
        </w:tc>
      </w:tr>
      <w:tr w:rsidR="00B16C72" w14:paraId="7EC8D2F1" w14:textId="77777777" w:rsidTr="000D306F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2AA1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2E8B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Tim ima relevantno iskustvo, dokazane rezultate i jasno izraženu motivaciju; kompetencije pokrivaju ključna područja.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4BFB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9-10</w:t>
            </w:r>
          </w:p>
        </w:tc>
      </w:tr>
      <w:tr w:rsidR="00B16C72" w14:paraId="35B4EFE6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63EE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F62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Tim ima osnovne kompetencije i djelomično pokriva potrebna znanja; motivacija djelomično razvidna.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680F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5-8</w:t>
            </w:r>
          </w:p>
        </w:tc>
      </w:tr>
      <w:tr w:rsidR="00B16C72" w14:paraId="0A690F12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2C55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BAA8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Kompetencije nisu u potpunosti relevantne; slab prikaz motivacije.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8995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1-4</w:t>
            </w:r>
          </w:p>
        </w:tc>
      </w:tr>
      <w:tr w:rsidR="00B16C72" w14:paraId="2A5FEE8B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D544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8698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Nedostatak relevantnog iskustva; motivacija neobjašnjena.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367B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B16C72" w14:paraId="37C7BBDC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0684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BC63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Izvori provjere: </w:t>
            </w:r>
          </w:p>
          <w:p w14:paraId="7D40BE0C" w14:textId="257267DA" w:rsidR="00B16C72" w:rsidRDefault="00713D93" w:rsidP="002A449F">
            <w:pPr>
              <w:numPr>
                <w:ilvl w:val="0"/>
                <w:numId w:val="9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Životopisi</w:t>
            </w:r>
          </w:p>
        </w:tc>
      </w:tr>
      <w:tr w:rsidR="00B16C72" w14:paraId="51D03D74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B72D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DB12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Tržišni potencijal i plan komercijalizacije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EAF9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 – 15 bodova</w:t>
            </w:r>
          </w:p>
        </w:tc>
      </w:tr>
      <w:tr w:rsidR="00B16C72" w14:paraId="6A7BB451" w14:textId="77777777" w:rsidTr="000D306F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73AB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2981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Tržište jasno definirano, postoje konkretni kontakti ili iskazan interes kupaca; plan izlaska na tržište razrađen.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3785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13-15</w:t>
            </w:r>
          </w:p>
        </w:tc>
      </w:tr>
      <w:tr w:rsidR="00B16C72" w14:paraId="737D274A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80D0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68ED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Tržište identificirano, ali plan prodaje djelomično razrađen; nedostaju konkretni dokazi.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433C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7-12</w:t>
            </w:r>
          </w:p>
        </w:tc>
      </w:tr>
      <w:tr w:rsidR="00B16C72" w14:paraId="2B98849D" w14:textId="77777777" w:rsidTr="000D306F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4190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F892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Osnovna ideja o tržištu, ali bez razrade kanala, korisnika ili cijena.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C8EA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1-6</w:t>
            </w:r>
          </w:p>
        </w:tc>
      </w:tr>
      <w:tr w:rsidR="00B16C72" w14:paraId="4F39A8C0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3914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7707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Nema razrade tržišnog potencijala ni plana komercijalizacije.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1B51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B16C72" w14:paraId="23068859" w14:textId="77777777" w:rsidTr="000D306F">
        <w:trPr>
          <w:trHeight w:val="62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9BAC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1217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Izvori provjere: </w:t>
            </w:r>
          </w:p>
          <w:p w14:paraId="7AA2D8E3" w14:textId="77777777" w:rsidR="00B16C72" w:rsidRDefault="00713D93">
            <w:pPr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Poslovni plan</w:t>
            </w:r>
          </w:p>
          <w:p w14:paraId="5467892E" w14:textId="77777777" w:rsidR="00B16C72" w:rsidRDefault="00713D93">
            <w:pPr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Potvrde interesa (ako postoje, kao prilog poslovnom planu)</w:t>
            </w:r>
          </w:p>
        </w:tc>
      </w:tr>
      <w:tr w:rsidR="00B16C72" w14:paraId="6FE9476D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819E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689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Društveni učinak i doprinos lokalnom razvoju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254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0 – 10 bodova</w:t>
            </w:r>
          </w:p>
        </w:tc>
      </w:tr>
      <w:tr w:rsidR="00B16C72" w14:paraId="4BF3A541" w14:textId="77777777" w:rsidTr="000D306F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04A0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5AD8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Projekt doprinosi lokalnoj zajednici (zapošljavanje, održivost, suradnja s lokalnim subjektima); jasno dokumentirano.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FFD0" w14:textId="77777777" w:rsidR="00B16C72" w:rsidRDefault="00713D93" w:rsidP="000D306F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9-10</w:t>
            </w:r>
          </w:p>
        </w:tc>
      </w:tr>
      <w:tr w:rsidR="00B16C72" w14:paraId="7CFEE670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8E85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7156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Postoji namjera društvenog doprinosa, ali nedostaju konkretni elementi.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D519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5-8</w:t>
            </w:r>
          </w:p>
        </w:tc>
      </w:tr>
      <w:tr w:rsidR="00B16C72" w14:paraId="37BE6437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4608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77BF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Općenita izjava o pozitivnom učinku bez jasnih pokazatelja.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C83C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1-4</w:t>
            </w:r>
          </w:p>
        </w:tc>
      </w:tr>
      <w:tr w:rsidR="00B16C72" w14:paraId="5C212EDE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5139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B6DE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Projekt nema značajan ili nikakav društveni ni lokalni doprinos.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6792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</w:p>
        </w:tc>
      </w:tr>
      <w:tr w:rsidR="00B16C72" w14:paraId="51CB8748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EAE5" w14:textId="77777777" w:rsidR="00B16C72" w:rsidRDefault="00B16C72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0A69" w14:textId="77777777" w:rsidR="00B16C72" w:rsidRDefault="00713D93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Izvori provjere: </w:t>
            </w:r>
          </w:p>
          <w:p w14:paraId="0DA6C475" w14:textId="1CD5CC02" w:rsidR="00B16C72" w:rsidRPr="002A449F" w:rsidRDefault="00713D93" w:rsidP="002A449F">
            <w:pPr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Poslovni plan</w:t>
            </w:r>
          </w:p>
        </w:tc>
      </w:tr>
    </w:tbl>
    <w:p w14:paraId="62955934" w14:textId="77777777" w:rsidR="000D306F" w:rsidRPr="00AF2510" w:rsidRDefault="000D306F" w:rsidP="000D306F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 w:rsidRPr="00AF2510">
        <w:rPr>
          <w:rFonts w:ascii="Calibri Light" w:eastAsia="Times New Roman" w:hAnsi="Calibri Light" w:cs="Calibri Light"/>
          <w:lang w:eastAsia="hr-HR"/>
        </w:rPr>
        <w:lastRenderedPageBreak/>
        <w:t>Zahtjev koji o</w:t>
      </w:r>
      <w:r>
        <w:rPr>
          <w:rFonts w:ascii="Calibri Light" w:eastAsia="Times New Roman" w:hAnsi="Calibri Light" w:cs="Calibri Light"/>
          <w:lang w:eastAsia="hr-HR"/>
        </w:rPr>
        <w:t>stvari u prosjeku</w:t>
      </w:r>
      <w:r w:rsidRPr="00AF2510">
        <w:rPr>
          <w:rFonts w:ascii="Calibri Light" w:eastAsia="Times New Roman" w:hAnsi="Calibri Light" w:cs="Calibri Light"/>
          <w:lang w:eastAsia="hr-HR"/>
        </w:rPr>
        <w:t xml:space="preserve"> manje od 60 bodova smatra se neprihvatljivim i ne može ostvariti pravo na zajam.</w:t>
      </w:r>
    </w:p>
    <w:p w14:paraId="2B0B6BF2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Minimalni broj bodova za odobrenje zajma: 60/100.</w:t>
      </w:r>
    </w:p>
    <w:p w14:paraId="7038F28F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Zajmovi se dodjeljuju ovisno o financijskim sredstvima PCKZŽ osiguranima za tu svrhu.</w:t>
      </w:r>
    </w:p>
    <w:p w14:paraId="53BE5B5F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Najmanji iznos zajma koji se može dodijeliti jednom korisniku iznosi 25.000,00 EUR dok najviši iznos zajma koji se može dodijeliti jednom korisniku iznosi 50.000,00 EUR.</w:t>
      </w:r>
    </w:p>
    <w:p w14:paraId="48C43C6E" w14:textId="77777777" w:rsidR="00B16C72" w:rsidRDefault="00713D93">
      <w:pPr>
        <w:autoSpaceDE w:val="0"/>
        <w:spacing w:line="240" w:lineRule="auto"/>
        <w:jc w:val="both"/>
        <w:rPr>
          <w:rFonts w:ascii="Calibri Light" w:eastAsia="Times New Roman" w:hAnsi="Calibri Light" w:cs="Calibri Light"/>
          <w:lang w:eastAsia="hr-HR"/>
        </w:rPr>
      </w:pPr>
      <w:r>
        <w:rPr>
          <w:rFonts w:ascii="Calibri Light" w:eastAsia="Times New Roman" w:hAnsi="Calibri Light" w:cs="Calibri Light"/>
          <w:lang w:eastAsia="hr-HR"/>
        </w:rPr>
        <w:t>Rok korištenja zajma ne može biti dulji od 12 mjeseci od dana sklapanja Ugovora o zajmu.</w:t>
      </w:r>
    </w:p>
    <w:p w14:paraId="2B4F1789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Rok otplate zajma iznosi do 24 mjeseca uključujući moguće poček razdoblje i razdoblje korištenja zajma. Poček razdoblje može trajati najviše 6 mjeseci.</w:t>
      </w:r>
    </w:p>
    <w:p w14:paraId="1446B8DD" w14:textId="001886CE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Fiksna kamatna stopa iznosi 2,</w:t>
      </w:r>
      <w:r w:rsidR="00BB6ECF">
        <w:rPr>
          <w:rFonts w:ascii="Calibri Light" w:hAnsi="Calibri Light" w:cs="Calibri Light"/>
        </w:rPr>
        <w:t>48</w:t>
      </w:r>
      <w:r>
        <w:rPr>
          <w:rFonts w:ascii="Calibri Light" w:hAnsi="Calibri Light" w:cs="Calibri Light"/>
        </w:rPr>
        <w:t>% godišnje.</w:t>
      </w:r>
    </w:p>
    <w:p w14:paraId="782EC4CF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Korisniku zajma odobrava se zajam uz poticajnu kamatnu stopu koja je niže od tržišne te predstavlja potporu male vrijednosti u obliku subvencionirane kamatne stope. Uredba koja se primjenjuje na dodjelu potpora male vrijednosti je Uredba Komisije (EU) br. 2023/2831 od 13. prosinca 2023. o primjeni članaka 107. i 108. Ugovora o funkcioniranju Europske unije na de </w:t>
      </w:r>
      <w:proofErr w:type="spellStart"/>
      <w:r>
        <w:rPr>
          <w:rFonts w:ascii="Calibri Light" w:hAnsi="Calibri Light" w:cs="Calibri Light"/>
        </w:rPr>
        <w:t>minimis</w:t>
      </w:r>
      <w:proofErr w:type="spellEnd"/>
      <w:r>
        <w:rPr>
          <w:rFonts w:ascii="Calibri Light" w:hAnsi="Calibri Light" w:cs="Calibri Light"/>
        </w:rPr>
        <w:t xml:space="preserve"> potpore (SL L 2023/2831, 15.12.2023.) (dalje: Uredba o potporama male vrijednosti). Ukupan iznos potpore male vrijednosti koja se po državi članici dodjeljujem jednom poduzetniku ne smije prelaziti 300.000 eura tijekom bilo kojeg trogodišnjeg razdoblja.</w:t>
      </w:r>
    </w:p>
    <w:p w14:paraId="354120D3" w14:textId="0A8193F2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Krapinsko-zagorska županija osigurava dodatnu potporu korisnicima zajmova iz Programa START zajam u obliku subvencije kamatne stope</w:t>
      </w:r>
      <w:r w:rsidR="00493C5C">
        <w:rPr>
          <w:rFonts w:ascii="Calibri Light" w:hAnsi="Calibri Light" w:cs="Calibri Light"/>
        </w:rPr>
        <w:t xml:space="preserve"> u visini 1 postotnog boda.</w:t>
      </w:r>
    </w:p>
    <w:p w14:paraId="1E952096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Korisnik zajma obvezan je plaćati puni iznos kamatne stope od 2,48% godišnje na ukupni iznos zajma, sukladno otplatnom planu.</w:t>
      </w:r>
    </w:p>
    <w:p w14:paraId="2DB079FF" w14:textId="2D9B67C8" w:rsidR="00B16C72" w:rsidRDefault="00493C5C">
      <w:pPr>
        <w:jc w:val="both"/>
        <w:rPr>
          <w:rFonts w:ascii="Calibri Light" w:hAnsi="Calibri Light" w:cs="Calibri Light"/>
        </w:rPr>
      </w:pPr>
      <w:r w:rsidRPr="00493C5C">
        <w:rPr>
          <w:rFonts w:ascii="Calibri Light" w:hAnsi="Calibri Light" w:cs="Calibri Light"/>
        </w:rPr>
        <w:t xml:space="preserve">PCKZŽ nakon evidentirane uplate </w:t>
      </w:r>
      <w:r>
        <w:rPr>
          <w:rFonts w:ascii="Calibri Light" w:hAnsi="Calibri Light" w:cs="Calibri Light"/>
        </w:rPr>
        <w:t>K</w:t>
      </w:r>
      <w:r w:rsidRPr="00493C5C">
        <w:rPr>
          <w:rFonts w:ascii="Calibri Light" w:hAnsi="Calibri Light" w:cs="Calibri Light"/>
        </w:rPr>
        <w:t xml:space="preserve">orisnika </w:t>
      </w:r>
      <w:r>
        <w:rPr>
          <w:rFonts w:ascii="Calibri Light" w:hAnsi="Calibri Light" w:cs="Calibri Light"/>
        </w:rPr>
        <w:t xml:space="preserve">zajma </w:t>
      </w:r>
      <w:r w:rsidRPr="00493C5C">
        <w:rPr>
          <w:rFonts w:ascii="Calibri Light" w:hAnsi="Calibri Light" w:cs="Calibri Light"/>
        </w:rPr>
        <w:t xml:space="preserve">dostavlja </w:t>
      </w:r>
      <w:r>
        <w:rPr>
          <w:rFonts w:ascii="Calibri Light" w:hAnsi="Calibri Light" w:cs="Calibri Light"/>
        </w:rPr>
        <w:t>Krapinsko-zagorskoj županiji</w:t>
      </w:r>
      <w:r w:rsidRPr="00493C5C">
        <w:rPr>
          <w:rFonts w:ascii="Calibri Light" w:hAnsi="Calibri Light" w:cs="Calibri Light"/>
        </w:rPr>
        <w:t xml:space="preserve"> dokaz o uplati rate zajma od strane Korisnika </w:t>
      </w:r>
      <w:r>
        <w:rPr>
          <w:rFonts w:ascii="Calibri Light" w:hAnsi="Calibri Light" w:cs="Calibri Light"/>
        </w:rPr>
        <w:t>zajma</w:t>
      </w:r>
      <w:r w:rsidRPr="00493C5C">
        <w:rPr>
          <w:rFonts w:ascii="Calibri Light" w:hAnsi="Calibri Light" w:cs="Calibri Light"/>
        </w:rPr>
        <w:t xml:space="preserve"> uz točan iznos kamate koji je potrebno platiti Korisniku zajma i na koji račun. </w:t>
      </w:r>
      <w:r w:rsidR="00713D93">
        <w:rPr>
          <w:rFonts w:ascii="Calibri Light" w:hAnsi="Calibri Light" w:cs="Calibri Light"/>
        </w:rPr>
        <w:t>Isplate subvencija provode se tromjesečno, na temelju potvrđenih uplata korisnika zajma.</w:t>
      </w:r>
      <w:r w:rsidR="00EE31EA">
        <w:rPr>
          <w:rFonts w:ascii="Calibri Light" w:hAnsi="Calibri Light" w:cs="Calibri Light"/>
        </w:rPr>
        <w:t xml:space="preserve"> </w:t>
      </w:r>
      <w:r w:rsidR="00713D93">
        <w:rPr>
          <w:rFonts w:ascii="Calibri Light" w:hAnsi="Calibri Light" w:cs="Calibri Light"/>
        </w:rPr>
        <w:t xml:space="preserve">Subvencija se vodi kao potpora male vrijednosti (de </w:t>
      </w:r>
      <w:proofErr w:type="spellStart"/>
      <w:r w:rsidR="00713D93">
        <w:rPr>
          <w:rFonts w:ascii="Calibri Light" w:hAnsi="Calibri Light" w:cs="Calibri Light"/>
        </w:rPr>
        <w:t>minimis</w:t>
      </w:r>
      <w:proofErr w:type="spellEnd"/>
      <w:r w:rsidR="00713D93">
        <w:rPr>
          <w:rFonts w:ascii="Calibri Light" w:hAnsi="Calibri Light" w:cs="Calibri Light"/>
        </w:rPr>
        <w:t xml:space="preserve">), a sve sukladno odredbama o de </w:t>
      </w:r>
      <w:proofErr w:type="spellStart"/>
      <w:r w:rsidR="00713D93">
        <w:rPr>
          <w:rFonts w:ascii="Calibri Light" w:hAnsi="Calibri Light" w:cs="Calibri Light"/>
        </w:rPr>
        <w:t>minimis</w:t>
      </w:r>
      <w:proofErr w:type="spellEnd"/>
      <w:r w:rsidR="00713D93">
        <w:rPr>
          <w:rFonts w:ascii="Calibri Light" w:hAnsi="Calibri Light" w:cs="Calibri Light"/>
        </w:rPr>
        <w:t xml:space="preserve"> potporama iz Pravilnika.</w:t>
      </w:r>
    </w:p>
    <w:p w14:paraId="6644FBF5" w14:textId="77777777" w:rsidR="00B16C72" w:rsidRDefault="00713D93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V NAČIN PRIJAVE I DOKUMENTACIJA</w:t>
      </w:r>
    </w:p>
    <w:p w14:paraId="7F82DB6A" w14:textId="5227EE8A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Javni poziv otvoren </w:t>
      </w:r>
      <w:r w:rsidR="00F547C8">
        <w:rPr>
          <w:rFonts w:ascii="Calibri Light" w:hAnsi="Calibri Light" w:cs="Calibri Light"/>
        </w:rPr>
        <w:t xml:space="preserve">je </w:t>
      </w:r>
      <w:r w:rsidR="002A449F">
        <w:rPr>
          <w:rFonts w:ascii="Calibri Light" w:hAnsi="Calibri Light" w:cs="Calibri Light"/>
        </w:rPr>
        <w:t>do 20. ožujka 2026. godine</w:t>
      </w:r>
      <w:r>
        <w:rPr>
          <w:rFonts w:ascii="Calibri Light" w:hAnsi="Calibri Light" w:cs="Calibri Light"/>
        </w:rPr>
        <w:t xml:space="preserve"> ili do iskorištenja raspoloživih sredstava, ovisno o tome što nastupi ranije.</w:t>
      </w:r>
    </w:p>
    <w:p w14:paraId="5A28638C" w14:textId="77777777" w:rsidR="00B16C72" w:rsidRDefault="00713D93">
      <w:pPr>
        <w:spacing w:after="0"/>
        <w:jc w:val="both"/>
      </w:pPr>
      <w:r>
        <w:rPr>
          <w:rFonts w:ascii="Calibri Light" w:hAnsi="Calibri Light" w:cs="Calibri Light"/>
        </w:rPr>
        <w:t xml:space="preserve">Obrazac zahtjeva za zajam i sva popratna dokumentacija dostavljaju se putem maila </w:t>
      </w:r>
      <w:hyperlink r:id="rId9" w:history="1">
        <w:r>
          <w:rPr>
            <w:rStyle w:val="Hiperveza"/>
            <w:rFonts w:ascii="Calibri Light" w:hAnsi="Calibri Light" w:cs="Calibri Light"/>
          </w:rPr>
          <w:t>info@poduzetnickicentar-kzz.hr</w:t>
        </w:r>
      </w:hyperlink>
      <w:r>
        <w:rPr>
          <w:rFonts w:ascii="Calibri Light" w:hAnsi="Calibri Light" w:cs="Calibri Light"/>
        </w:rPr>
        <w:t>. Uz zahtjev za zajam prilaže se sljedeća obavezna dokumentacija:</w:t>
      </w:r>
    </w:p>
    <w:p w14:paraId="74815719" w14:textId="77777777" w:rsidR="002A449F" w:rsidRPr="00652A67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Poslovni plan (prema Prilogu 1. Minimalna struktura poslovnog plana koji je sastavni dio javnog poziva),</w:t>
      </w:r>
    </w:p>
    <w:p w14:paraId="20F754BE" w14:textId="3E4496E1" w:rsidR="002A449F" w:rsidRPr="00652A67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Potvrd</w:t>
      </w:r>
      <w:r w:rsidR="0060776B">
        <w:rPr>
          <w:rFonts w:asciiTheme="majorHAnsi" w:eastAsia="Times New Roman" w:hAnsiTheme="majorHAnsi" w:cstheme="majorHAnsi"/>
          <w:lang w:eastAsia="hr-HR"/>
        </w:rPr>
        <w:t>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nadležne porezne uprave o nepostojanju duga prema državnom proračunu (ne starij</w:t>
      </w:r>
      <w:r>
        <w:rPr>
          <w:rFonts w:asciiTheme="majorHAnsi" w:eastAsia="Times New Roman" w:hAnsiTheme="majorHAnsi" w:cstheme="majorHAnsi"/>
          <w:lang w:eastAsia="hr-HR"/>
        </w:rPr>
        <w:t>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30 dana od dana podnošenja zahtjeva),</w:t>
      </w:r>
    </w:p>
    <w:p w14:paraId="4B7ABDD6" w14:textId="77777777" w:rsidR="002A449F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lastRenderedPageBreak/>
        <w:t>Potvrda PCKZŽ-a o nepostojanju duga prema PCKZŽ-u (</w:t>
      </w:r>
      <w:r>
        <w:rPr>
          <w:rFonts w:asciiTheme="majorHAnsi" w:eastAsia="Times New Roman" w:hAnsiTheme="majorHAnsi" w:cstheme="majorHAnsi"/>
          <w:lang w:eastAsia="hr-HR"/>
        </w:rPr>
        <w:t>ne starija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7 dana od dana podnošenja zahtjeva),</w:t>
      </w:r>
    </w:p>
    <w:p w14:paraId="3ED19927" w14:textId="77777777" w:rsidR="002A449F" w:rsidRPr="00652A67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Izjava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 nepostojanju duga prema KZŽ (</w:t>
      </w:r>
      <w:r>
        <w:rPr>
          <w:rFonts w:asciiTheme="majorHAnsi" w:eastAsia="Times New Roman" w:hAnsiTheme="majorHAnsi" w:cstheme="majorHAnsi"/>
          <w:lang w:eastAsia="hr-HR"/>
        </w:rPr>
        <w:t>ne starija</w:t>
      </w:r>
      <w:r w:rsidRPr="00652A67">
        <w:rPr>
          <w:rFonts w:asciiTheme="majorHAnsi" w:eastAsia="Times New Roman" w:hAnsiTheme="majorHAnsi" w:cstheme="majorHAnsi"/>
          <w:lang w:eastAsia="hr-HR"/>
        </w:rPr>
        <w:t xml:space="preserve"> od 7 dana od dana podnošenja zahtjeva),</w:t>
      </w:r>
    </w:p>
    <w:p w14:paraId="09ED41EA" w14:textId="77777777" w:rsidR="002A449F" w:rsidRPr="00652A67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BON-2 ili drugi financijski izvještaj (ako postoji),</w:t>
      </w:r>
    </w:p>
    <w:p w14:paraId="6E067231" w14:textId="77777777" w:rsidR="002A449F" w:rsidRPr="00652A67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Izjava o povezanim osobama,</w:t>
      </w:r>
    </w:p>
    <w:p w14:paraId="0857A6E2" w14:textId="77777777" w:rsidR="002A449F" w:rsidRPr="00652A67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Tablica kreditne zaduženosti,</w:t>
      </w:r>
    </w:p>
    <w:p w14:paraId="25A9E0EE" w14:textId="77777777" w:rsidR="002A449F" w:rsidRDefault="002A449F" w:rsidP="002A449F">
      <w:pPr>
        <w:pStyle w:val="Odlomakpopisa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Theme="majorHAnsi" w:eastAsia="Times New Roman" w:hAnsiTheme="majorHAnsi" w:cstheme="majorHAnsi"/>
          <w:lang w:eastAsia="hr-HR"/>
        </w:rPr>
      </w:pPr>
      <w:r w:rsidRPr="00652A67">
        <w:rPr>
          <w:rFonts w:asciiTheme="majorHAnsi" w:eastAsia="Times New Roman" w:hAnsiTheme="majorHAnsi" w:cstheme="majorHAnsi"/>
          <w:lang w:eastAsia="hr-HR"/>
        </w:rPr>
        <w:t>Godišnji financijski izvještaji za protekle dvije poslovne godine sastavljeni sukladno Zakonu o računovodstvu u elektroničkom obliku u standardiziranom FINA formatu (ukoliko je primjenjivo),</w:t>
      </w:r>
    </w:p>
    <w:p w14:paraId="0126C01D" w14:textId="77777777" w:rsidR="002A449F" w:rsidRPr="00ED5BCF" w:rsidRDefault="002A449F" w:rsidP="002A449F">
      <w:pPr>
        <w:pStyle w:val="Odlomakpopisa"/>
        <w:numPr>
          <w:ilvl w:val="0"/>
          <w:numId w:val="16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Calibri Light" w:eastAsia="Times New Roman" w:hAnsi="Calibri Light" w:cs="Calibri Light"/>
          <w:lang w:eastAsia="hr-HR"/>
        </w:rPr>
      </w:pPr>
      <w:r w:rsidRPr="00457C71">
        <w:rPr>
          <w:rFonts w:ascii="Calibri Light" w:eastAsia="Times New Roman" w:hAnsi="Calibri Light" w:cs="Calibri Light"/>
          <w:lang w:eastAsia="hr-HR"/>
        </w:rPr>
        <w:t xml:space="preserve">Prijava poreza na dohodak za </w:t>
      </w:r>
      <w:r>
        <w:rPr>
          <w:rFonts w:ascii="Calibri Light" w:eastAsia="Times New Roman" w:hAnsi="Calibri Light" w:cs="Calibri Light"/>
          <w:lang w:eastAsia="hr-HR"/>
        </w:rPr>
        <w:t>protekle dvije poslovne godine</w:t>
      </w:r>
      <w:r w:rsidRPr="00457C71">
        <w:rPr>
          <w:rFonts w:ascii="Calibri Light" w:eastAsia="Times New Roman" w:hAnsi="Calibri Light" w:cs="Calibri Light"/>
          <w:lang w:eastAsia="hr-HR"/>
        </w:rPr>
        <w:t xml:space="preserve"> te pregled primitaka i izdataka i popis dugotrajne imovine za </w:t>
      </w:r>
      <w:r>
        <w:rPr>
          <w:rFonts w:ascii="Calibri Light" w:eastAsia="Times New Roman" w:hAnsi="Calibri Light" w:cs="Calibri Light"/>
          <w:lang w:eastAsia="hr-HR"/>
        </w:rPr>
        <w:t xml:space="preserve">protekle dvije poslovne godine </w:t>
      </w:r>
      <w:r w:rsidRPr="00457C71">
        <w:rPr>
          <w:rFonts w:ascii="Calibri Light" w:eastAsia="Times New Roman" w:hAnsi="Calibri Light" w:cs="Calibri Light"/>
          <w:lang w:eastAsia="hr-HR"/>
        </w:rPr>
        <w:t xml:space="preserve">ovjerene od strane Porezne uprave ili dostavljene uz odgovarajuću potvrdu zaprimanja obrasca u </w:t>
      </w:r>
      <w:proofErr w:type="spellStart"/>
      <w:r w:rsidRPr="00457C71">
        <w:rPr>
          <w:rFonts w:ascii="Calibri Light" w:eastAsia="Times New Roman" w:hAnsi="Calibri Light" w:cs="Calibri Light"/>
          <w:lang w:eastAsia="hr-HR"/>
        </w:rPr>
        <w:t>ePoreznoj</w:t>
      </w:r>
      <w:proofErr w:type="spellEnd"/>
      <w:r w:rsidRPr="00457C71">
        <w:rPr>
          <w:rFonts w:ascii="Calibri Light" w:eastAsia="Times New Roman" w:hAnsi="Calibri Light" w:cs="Calibri Light"/>
          <w:lang w:eastAsia="hr-HR"/>
        </w:rPr>
        <w:t xml:space="preserve"> </w:t>
      </w:r>
      <w:r>
        <w:rPr>
          <w:rFonts w:ascii="Calibri Light" w:eastAsia="Times New Roman" w:hAnsi="Calibri Light" w:cs="Calibri Light"/>
          <w:lang w:eastAsia="hr-HR"/>
        </w:rPr>
        <w:t>(ukoliko je primjenjivo)</w:t>
      </w:r>
    </w:p>
    <w:p w14:paraId="46A4CE1C" w14:textId="77777777" w:rsidR="002A449F" w:rsidRPr="00ED5BCF" w:rsidRDefault="002A449F" w:rsidP="002A449F">
      <w:pPr>
        <w:pStyle w:val="Odlomakpopisa"/>
        <w:numPr>
          <w:ilvl w:val="0"/>
          <w:numId w:val="16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Calibri Light" w:eastAsia="Times New Roman" w:hAnsi="Calibri Light" w:cs="Calibri Light"/>
          <w:lang w:eastAsia="hr-HR"/>
        </w:rPr>
      </w:pPr>
      <w:r w:rsidRPr="00ED5BCF">
        <w:rPr>
          <w:rFonts w:ascii="Calibri Light" w:eastAsia="Times New Roman" w:hAnsi="Calibri Light" w:cs="Calibri Light"/>
          <w:lang w:eastAsia="hr-HR"/>
        </w:rPr>
        <w:t>Izjav</w:t>
      </w:r>
      <w:r>
        <w:rPr>
          <w:rFonts w:ascii="Calibri Light" w:eastAsia="Times New Roman" w:hAnsi="Calibri Light" w:cs="Calibri Light"/>
          <w:lang w:eastAsia="hr-HR"/>
        </w:rPr>
        <w:t>a</w:t>
      </w:r>
      <w:r w:rsidRPr="00ED5BCF">
        <w:rPr>
          <w:rFonts w:ascii="Calibri Light" w:eastAsia="Times New Roman" w:hAnsi="Calibri Light" w:cs="Calibri Light"/>
          <w:lang w:eastAsia="hr-HR"/>
        </w:rPr>
        <w:t xml:space="preserve"> o korištenju potpora male vrijednosti</w:t>
      </w:r>
      <w:r>
        <w:rPr>
          <w:rFonts w:ascii="Calibri Light" w:eastAsia="Times New Roman" w:hAnsi="Calibri Light" w:cs="Calibri Light"/>
          <w:lang w:eastAsia="hr-HR"/>
        </w:rPr>
        <w:t xml:space="preserve"> za podnositelja zahtjeva i svako povezano poduzeće</w:t>
      </w:r>
      <w:r w:rsidRPr="00ED5BCF">
        <w:rPr>
          <w:rFonts w:ascii="Calibri Light" w:eastAsia="Times New Roman" w:hAnsi="Calibri Light" w:cs="Calibri Light"/>
          <w:lang w:eastAsia="hr-HR"/>
        </w:rPr>
        <w:t>,</w:t>
      </w:r>
    </w:p>
    <w:p w14:paraId="3B83DD24" w14:textId="77777777" w:rsidR="002A449F" w:rsidRDefault="002A449F" w:rsidP="002A449F">
      <w:pPr>
        <w:numPr>
          <w:ilvl w:val="0"/>
          <w:numId w:val="16"/>
        </w:numPr>
        <w:spacing w:after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Životopisi članova tima/ključnih zaposlenika, </w:t>
      </w:r>
    </w:p>
    <w:p w14:paraId="0B411AF5" w14:textId="2098E8C4" w:rsidR="002A449F" w:rsidRDefault="002A449F" w:rsidP="000D306F">
      <w:pPr>
        <w:numPr>
          <w:ilvl w:val="0"/>
          <w:numId w:val="12"/>
        </w:numPr>
        <w:spacing w:after="12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Dokazi o zaštiti intelektualnog vlasništva/prijave patenata, dizajna i sl. ako postoji</w:t>
      </w:r>
    </w:p>
    <w:p w14:paraId="7898E400" w14:textId="77777777" w:rsidR="00B16C72" w:rsidRDefault="00713D93" w:rsidP="000D306F">
      <w:pPr>
        <w:spacing w:after="1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Obrazac zahtjeva i sva popratna dokumentacija (poslovni plan, tablica kreditne zaduženosti, izjava o korištenju potpora male vrijednosti i dr.) za dodjelu zajmova nalazi se na web stranici PCKZŽ (poduzetnickicentar-kzz.hr).</w:t>
      </w:r>
    </w:p>
    <w:p w14:paraId="1C6FBDBA" w14:textId="77777777" w:rsidR="00B16C72" w:rsidRDefault="00713D93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VI POSTUPAK ODOBRAVANJA ZAJMOVA</w:t>
      </w:r>
    </w:p>
    <w:p w14:paraId="05CE4770" w14:textId="77777777" w:rsidR="00B16C72" w:rsidRDefault="00713D93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Postupak uključuje:</w:t>
      </w:r>
    </w:p>
    <w:p w14:paraId="5597565F" w14:textId="77777777" w:rsidR="00B16C72" w:rsidRDefault="00713D93">
      <w:pPr>
        <w:pStyle w:val="Odlomakpopisa"/>
        <w:numPr>
          <w:ilvl w:val="0"/>
          <w:numId w:val="13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PCKZŽ podnesene zahtjeve s pripadajućom dokumentacijom dostavlja Povjerenstvu za ocjenu zahtjeva za zajam.</w:t>
      </w:r>
    </w:p>
    <w:p w14:paraId="29D96DAE" w14:textId="0E221C94" w:rsidR="00B16C72" w:rsidRDefault="00713D93">
      <w:pPr>
        <w:pStyle w:val="Odlomakpopisa"/>
        <w:numPr>
          <w:ilvl w:val="0"/>
          <w:numId w:val="13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Povjerenstvo pregledava podnesene zahtjeve</w:t>
      </w:r>
      <w:r w:rsidR="002A449F">
        <w:rPr>
          <w:rFonts w:ascii="Calibri Light" w:hAnsi="Calibri Light" w:cs="Calibri Light"/>
        </w:rPr>
        <w:t xml:space="preserve"> i</w:t>
      </w:r>
      <w:r>
        <w:rPr>
          <w:rFonts w:ascii="Calibri Light" w:hAnsi="Calibri Light" w:cs="Calibri Light"/>
        </w:rPr>
        <w:t xml:space="preserve"> ocjenjuje ih temeljem kriterija iz točke 4. ovog poziva.</w:t>
      </w:r>
    </w:p>
    <w:p w14:paraId="155166A8" w14:textId="07B6D236" w:rsidR="00B16C72" w:rsidRDefault="00713D93">
      <w:pPr>
        <w:pStyle w:val="Odlomakpopisa"/>
        <w:numPr>
          <w:ilvl w:val="0"/>
          <w:numId w:val="13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Povjerenstvo daje preporuku za financiranje te ju dostavlja direktorici PCKZŽ.</w:t>
      </w:r>
    </w:p>
    <w:p w14:paraId="6EDC0894" w14:textId="77777777" w:rsidR="00B16C72" w:rsidRDefault="00713D93">
      <w:pPr>
        <w:pStyle w:val="Odlomakpopisa"/>
        <w:numPr>
          <w:ilvl w:val="0"/>
          <w:numId w:val="13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Direktorica PCKZŽ na prijedlog povjerenstva donosi Odluku o odobravanju zajma.</w:t>
      </w:r>
    </w:p>
    <w:p w14:paraId="0A4215E6" w14:textId="77777777" w:rsidR="00B16C72" w:rsidRDefault="00713D93">
      <w:pPr>
        <w:pStyle w:val="Odlomakpopisa"/>
        <w:numPr>
          <w:ilvl w:val="0"/>
          <w:numId w:val="13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PCKZŽ dostavlja korisniku zajma Odluku o odobravanju zajma.</w:t>
      </w:r>
    </w:p>
    <w:p w14:paraId="78143366" w14:textId="72B8DC83" w:rsidR="002A449F" w:rsidRDefault="002A449F">
      <w:pPr>
        <w:pStyle w:val="Odlomakpopisa"/>
        <w:numPr>
          <w:ilvl w:val="0"/>
          <w:numId w:val="13"/>
        </w:numPr>
        <w:spacing w:after="0"/>
        <w:ind w:left="714" w:hanging="357"/>
        <w:jc w:val="both"/>
        <w:rPr>
          <w:rFonts w:ascii="Calibri Light" w:hAnsi="Calibri Light" w:cs="Calibri Light"/>
        </w:rPr>
      </w:pPr>
      <w:r w:rsidRPr="002A449F">
        <w:rPr>
          <w:rFonts w:ascii="Calibri Light" w:hAnsi="Calibri Light" w:cs="Calibri Light"/>
        </w:rPr>
        <w:t>Podnositelje zahtjeva koji ne ispunjavaju uvjete za dodjelu zajma, odnosno nisu ostvarili minimalan broj bodova, PCKZŽ će pisano obavijestiti o odbijanju zahtjeva za zajam.</w:t>
      </w:r>
    </w:p>
    <w:p w14:paraId="7BB73A71" w14:textId="77777777" w:rsidR="00B16C72" w:rsidRDefault="00713D93">
      <w:pPr>
        <w:pStyle w:val="Odlomakpopisa"/>
        <w:numPr>
          <w:ilvl w:val="0"/>
          <w:numId w:val="1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PCKZŽ organizira i operativno vodi realizaciju zajmova.</w:t>
      </w:r>
    </w:p>
    <w:p w14:paraId="3F49ED06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Zajmovi se realiziraju na temelju Ugovora o zajmu (u daljnjem tekstu: Ugovor) što ga sklapaju PCKZŽ i Korisnik zajma, u bitnom u tekstu kako je naveden u nacrtu ugovora dostupnom na web stranici PCKZŽ.</w:t>
      </w:r>
    </w:p>
    <w:p w14:paraId="101AB74E" w14:textId="77777777" w:rsidR="00B16C72" w:rsidRDefault="00713D93" w:rsidP="000D306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Prilikom sklapanja Ugovora, Korisnik zajma obvezan je predati PCKZŽ sljedeće sredstvo osiguranja:</w:t>
      </w:r>
    </w:p>
    <w:p w14:paraId="6BF6DD03" w14:textId="77777777" w:rsidR="00B16C72" w:rsidRDefault="00713D93">
      <w:pPr>
        <w:pStyle w:val="Odlomakpopisa"/>
        <w:numPr>
          <w:ilvl w:val="0"/>
          <w:numId w:val="14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najmanje jednu zadužnicu na iznos odobrenog iznosa zajma, uvećanog za pripadajuće kamate, naknade i troškove, </w:t>
      </w:r>
      <w:proofErr w:type="spellStart"/>
      <w:r>
        <w:rPr>
          <w:rFonts w:ascii="Calibri Light" w:hAnsi="Calibri Light" w:cs="Calibri Light"/>
        </w:rPr>
        <w:t>solemniziranu</w:t>
      </w:r>
      <w:proofErr w:type="spellEnd"/>
      <w:r>
        <w:rPr>
          <w:rFonts w:ascii="Calibri Light" w:hAnsi="Calibri Light" w:cs="Calibri Light"/>
        </w:rPr>
        <w:t xml:space="preserve"> od strane javnog bilježnika.</w:t>
      </w:r>
    </w:p>
    <w:p w14:paraId="7889A656" w14:textId="18B0949A" w:rsidR="00B16C72" w:rsidRDefault="00713D93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VII KONTROLA IZVRŠENJA UGOVORNIH OBVEZA</w:t>
      </w:r>
    </w:p>
    <w:p w14:paraId="53BF20F6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PCKZŽ ima pravo kontrole namjenskog korištenja zajma kod korisnika zajma tijekom trajanja Ugovora o zajmu ili do povrata cjelokupnog iznosa glavnice uvećanog za pripadajuće kamate. </w:t>
      </w:r>
    </w:p>
    <w:p w14:paraId="6660509C" w14:textId="77777777" w:rsidR="00B16C72" w:rsidRDefault="00713D93">
      <w:pPr>
        <w:spacing w:after="1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Korisnik zajma treba dostavljati kvartalna izvješća o provedbi aktivnosti, trošenju sredstava i napretku poslovanja na propisanom obrascu. Najkasnije u roku od 3 mjeseca nakon završetka korištenja sredstava, Korisnik zajma se obvezuje dostaviti PCKZŽ dokumentaciju koja dokazuje realizaciju investicije (računi, ugovori, dokazi o plaćanju i sl.) temeljem čega PCKZŽ utvrđuje namjensko korištenje. Na zahtjev PCKZŽ, Korisnik zajma dužan je dostaviti ad-</w:t>
      </w:r>
      <w:proofErr w:type="spellStart"/>
      <w:r>
        <w:rPr>
          <w:rFonts w:ascii="Calibri Light" w:hAnsi="Calibri Light" w:cs="Calibri Light"/>
        </w:rPr>
        <w:t>hoc</w:t>
      </w:r>
      <w:proofErr w:type="spellEnd"/>
      <w:r>
        <w:rPr>
          <w:rFonts w:ascii="Calibri Light" w:hAnsi="Calibri Light" w:cs="Calibri Light"/>
        </w:rPr>
        <w:t xml:space="preserve"> dokumentaciju za dodatnu provjeru, uključujući izvode, izjave i druge materijale koji potvrđuju namjensko korištenje zajma.</w:t>
      </w:r>
    </w:p>
    <w:p w14:paraId="1801694F" w14:textId="77777777" w:rsidR="00B16C72" w:rsidRDefault="00713D93">
      <w:pPr>
        <w:spacing w:after="1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svrhu provođenja kontrole namjenskog korištenja sredstava, predstavnici PCKZŽ i HBOR-a, kao i treće osobe ovlaštene od strane HBOR-a, ovlašteni su izvršiti provjeru korištenja odobrenog zajma obilaskom korisnika zajma i njegovih poslovnih objekata te uvidom u dokumentaciju na temelju koje je odobren zajam.</w:t>
      </w:r>
    </w:p>
    <w:p w14:paraId="0931C01D" w14:textId="240162F8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Korisnik zajma dužan je čuvati svu dokumentaciju kojom dokazuje namjensko korištenje sredstava najmanje 5 godina od </w:t>
      </w:r>
      <w:r w:rsidR="00F547C8">
        <w:rPr>
          <w:rFonts w:ascii="Calibri Light" w:hAnsi="Calibri Light" w:cs="Calibri Light"/>
        </w:rPr>
        <w:t>povrata zajma</w:t>
      </w:r>
      <w:r>
        <w:rPr>
          <w:rFonts w:ascii="Calibri Light" w:hAnsi="Calibri Light" w:cs="Calibri Light"/>
        </w:rPr>
        <w:t>.</w:t>
      </w:r>
    </w:p>
    <w:p w14:paraId="54A3C5CA" w14:textId="50DA5ED1" w:rsidR="00B16C72" w:rsidRDefault="00EE31EA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VIII</w:t>
      </w:r>
      <w:r w:rsidR="00493C5C">
        <w:rPr>
          <w:rFonts w:ascii="Calibri Light" w:hAnsi="Calibri Light" w:cs="Calibri Light"/>
          <w:b/>
          <w:bCs/>
        </w:rPr>
        <w:t xml:space="preserve"> </w:t>
      </w:r>
      <w:r w:rsidR="00713D93">
        <w:rPr>
          <w:rFonts w:ascii="Calibri Light" w:hAnsi="Calibri Light" w:cs="Calibri Light"/>
          <w:b/>
          <w:bCs/>
        </w:rPr>
        <w:t>ZAVRŠNE ODREDBE</w:t>
      </w:r>
    </w:p>
    <w:p w14:paraId="29E7CB7F" w14:textId="77777777" w:rsidR="00B16C72" w:rsidRDefault="00713D93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PCKZŽ zadržava pravo izmjene i dopune dokumentacije iz javnog poziva. Izmjene i dopune javnog poziva vrše se na isti način i u postupku kao i za donošenje istog.</w:t>
      </w:r>
    </w:p>
    <w:p w14:paraId="5FE7218D" w14:textId="77777777" w:rsidR="00493C5C" w:rsidRDefault="00493C5C">
      <w:pPr>
        <w:jc w:val="both"/>
        <w:rPr>
          <w:rFonts w:ascii="Calibri Light" w:hAnsi="Calibri Light" w:cs="Calibri Light"/>
        </w:rPr>
      </w:pPr>
    </w:p>
    <w:p w14:paraId="3C769D4E" w14:textId="191E9F20" w:rsidR="00B16C72" w:rsidRPr="00031228" w:rsidRDefault="00713D93">
      <w:pPr>
        <w:spacing w:before="240" w:after="0"/>
        <w:jc w:val="both"/>
        <w:rPr>
          <w:rFonts w:ascii="Calibri Light" w:hAnsi="Calibri Light" w:cs="Calibri Light"/>
        </w:rPr>
      </w:pPr>
      <w:r w:rsidRPr="00031228">
        <w:rPr>
          <w:rFonts w:ascii="Calibri Light" w:hAnsi="Calibri Light" w:cs="Calibri Light"/>
        </w:rPr>
        <w:t>BROJ: 400/17-25-04/</w:t>
      </w:r>
      <w:r w:rsidR="00AA31AD" w:rsidRPr="000D306F">
        <w:rPr>
          <w:rFonts w:ascii="Calibri Light" w:hAnsi="Calibri Light" w:cs="Calibri Light"/>
        </w:rPr>
        <w:t>2</w:t>
      </w:r>
      <w:r w:rsidR="00F547C8">
        <w:rPr>
          <w:rFonts w:ascii="Calibri Light" w:hAnsi="Calibri Light" w:cs="Calibri Light"/>
        </w:rPr>
        <w:t>9</w:t>
      </w:r>
    </w:p>
    <w:p w14:paraId="2D7D8ED5" w14:textId="4A37988D" w:rsidR="00B16C72" w:rsidRDefault="00713D93">
      <w:pPr>
        <w:jc w:val="both"/>
        <w:rPr>
          <w:rFonts w:ascii="Calibri Light" w:hAnsi="Calibri Light" w:cs="Calibri Light"/>
        </w:rPr>
      </w:pPr>
      <w:r w:rsidRPr="00031228">
        <w:rPr>
          <w:rFonts w:ascii="Calibri Light" w:hAnsi="Calibri Light" w:cs="Calibri Light"/>
        </w:rPr>
        <w:t xml:space="preserve">Krapina, </w:t>
      </w:r>
      <w:r w:rsidR="000D306F">
        <w:rPr>
          <w:rFonts w:ascii="Calibri Light" w:hAnsi="Calibri Light" w:cs="Calibri Light"/>
        </w:rPr>
        <w:t>13</w:t>
      </w:r>
      <w:r w:rsidR="00AA31AD">
        <w:rPr>
          <w:rFonts w:ascii="Calibri Light" w:hAnsi="Calibri Light" w:cs="Calibri Light"/>
        </w:rPr>
        <w:t>. siječnja 2026.</w:t>
      </w:r>
    </w:p>
    <w:p w14:paraId="44DD3E85" w14:textId="77777777" w:rsidR="00B16C72" w:rsidRDefault="00713D93">
      <w:pPr>
        <w:spacing w:after="0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DIREKTORICA</w:t>
      </w:r>
    </w:p>
    <w:p w14:paraId="76B4568B" w14:textId="77777777" w:rsidR="00B16C72" w:rsidRDefault="00713D93">
      <w:pPr>
        <w:spacing w:after="0"/>
        <w:jc w:val="right"/>
      </w:pPr>
      <w:r>
        <w:rPr>
          <w:rFonts w:ascii="Calibri Light" w:hAnsi="Calibri Light" w:cs="Calibri Light"/>
        </w:rPr>
        <w:t>Helena Matuša</w:t>
      </w:r>
    </w:p>
    <w:sectPr w:rsidR="00B16C7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839A" w14:textId="77777777" w:rsidR="00FA4868" w:rsidRDefault="00FA4868">
      <w:pPr>
        <w:spacing w:after="0" w:line="240" w:lineRule="auto"/>
      </w:pPr>
      <w:r>
        <w:separator/>
      </w:r>
    </w:p>
  </w:endnote>
  <w:endnote w:type="continuationSeparator" w:id="0">
    <w:p w14:paraId="294C367C" w14:textId="77777777" w:rsidR="00FA4868" w:rsidRDefault="00FA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way Roun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A9E" w14:textId="77777777" w:rsidR="00FA4868" w:rsidRDefault="00FA48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AF0CC0" w14:textId="77777777" w:rsidR="00FA4868" w:rsidRDefault="00FA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0C7"/>
    <w:multiLevelType w:val="multilevel"/>
    <w:tmpl w:val="73A01B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DE2"/>
    <w:multiLevelType w:val="multilevel"/>
    <w:tmpl w:val="1DB64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4540EA"/>
    <w:multiLevelType w:val="multilevel"/>
    <w:tmpl w:val="1A9C4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E7364D"/>
    <w:multiLevelType w:val="multilevel"/>
    <w:tmpl w:val="E8A48C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2E640D"/>
    <w:multiLevelType w:val="multilevel"/>
    <w:tmpl w:val="036A5D8C"/>
    <w:lvl w:ilvl="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0D5AD3"/>
    <w:multiLevelType w:val="hybridMultilevel"/>
    <w:tmpl w:val="49A0F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52B4"/>
    <w:multiLevelType w:val="multilevel"/>
    <w:tmpl w:val="30268C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5210EFF"/>
    <w:multiLevelType w:val="multilevel"/>
    <w:tmpl w:val="101451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DDC0875"/>
    <w:multiLevelType w:val="multilevel"/>
    <w:tmpl w:val="5BEE44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69937A3"/>
    <w:multiLevelType w:val="multilevel"/>
    <w:tmpl w:val="7464A3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AAC1B1A"/>
    <w:multiLevelType w:val="multilevel"/>
    <w:tmpl w:val="C6B47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273EB"/>
    <w:multiLevelType w:val="multilevel"/>
    <w:tmpl w:val="BAD055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A6568D0"/>
    <w:multiLevelType w:val="multilevel"/>
    <w:tmpl w:val="82B25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02D431A"/>
    <w:multiLevelType w:val="hybridMultilevel"/>
    <w:tmpl w:val="B7581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30D8F"/>
    <w:multiLevelType w:val="multilevel"/>
    <w:tmpl w:val="C6DA517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90726411">
    <w:abstractNumId w:val="10"/>
  </w:num>
  <w:num w:numId="2" w16cid:durableId="327246845">
    <w:abstractNumId w:val="10"/>
    <w:lvlOverride w:ilvl="0">
      <w:startOverride w:val="1"/>
    </w:lvlOverride>
  </w:num>
  <w:num w:numId="3" w16cid:durableId="533423752">
    <w:abstractNumId w:val="9"/>
  </w:num>
  <w:num w:numId="4" w16cid:durableId="1685789186">
    <w:abstractNumId w:val="11"/>
  </w:num>
  <w:num w:numId="5" w16cid:durableId="1876655453">
    <w:abstractNumId w:val="1"/>
  </w:num>
  <w:num w:numId="6" w16cid:durableId="445464549">
    <w:abstractNumId w:val="8"/>
  </w:num>
  <w:num w:numId="7" w16cid:durableId="1607736191">
    <w:abstractNumId w:val="14"/>
  </w:num>
  <w:num w:numId="8" w16cid:durableId="1868060083">
    <w:abstractNumId w:val="6"/>
  </w:num>
  <w:num w:numId="9" w16cid:durableId="2063674010">
    <w:abstractNumId w:val="3"/>
  </w:num>
  <w:num w:numId="10" w16cid:durableId="741099445">
    <w:abstractNumId w:val="2"/>
  </w:num>
  <w:num w:numId="11" w16cid:durableId="2040037337">
    <w:abstractNumId w:val="7"/>
  </w:num>
  <w:num w:numId="12" w16cid:durableId="1336230709">
    <w:abstractNumId w:val="12"/>
  </w:num>
  <w:num w:numId="13" w16cid:durableId="1604219057">
    <w:abstractNumId w:val="0"/>
  </w:num>
  <w:num w:numId="14" w16cid:durableId="395130504">
    <w:abstractNumId w:val="4"/>
  </w:num>
  <w:num w:numId="15" w16cid:durableId="1839733903">
    <w:abstractNumId w:val="5"/>
  </w:num>
  <w:num w:numId="16" w16cid:durableId="1698237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72"/>
    <w:rsid w:val="00031228"/>
    <w:rsid w:val="000C19C6"/>
    <w:rsid w:val="000D306F"/>
    <w:rsid w:val="001F6010"/>
    <w:rsid w:val="002A449F"/>
    <w:rsid w:val="00322E4D"/>
    <w:rsid w:val="00493C5C"/>
    <w:rsid w:val="004D5FE6"/>
    <w:rsid w:val="005065B5"/>
    <w:rsid w:val="0060776B"/>
    <w:rsid w:val="00713D93"/>
    <w:rsid w:val="008101E5"/>
    <w:rsid w:val="008135CE"/>
    <w:rsid w:val="0087012F"/>
    <w:rsid w:val="00AA31AD"/>
    <w:rsid w:val="00B16C72"/>
    <w:rsid w:val="00BA387A"/>
    <w:rsid w:val="00BB6ECF"/>
    <w:rsid w:val="00C970D3"/>
    <w:rsid w:val="00DE0C8F"/>
    <w:rsid w:val="00E75769"/>
    <w:rsid w:val="00EE31EA"/>
    <w:rsid w:val="00F547C8"/>
    <w:rsid w:val="00F718CE"/>
    <w:rsid w:val="00FA486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0658"/>
  <w15:docId w15:val="{CB7D1D06-ADB7-4CD3-AD74-BC1A8383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A449F"/>
    <w:pPr>
      <w:autoSpaceDN/>
      <w:spacing w:after="0" w:line="240" w:lineRule="auto"/>
      <w:textAlignment w:val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077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077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077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077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07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oduzetnickicentar-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D45BB-C91D-4258-8B3A-F0AD14D2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Grmovšek</dc:creator>
  <dc:description/>
  <cp:lastModifiedBy>Željka Kramarić</cp:lastModifiedBy>
  <cp:revision>12</cp:revision>
  <cp:lastPrinted>2026-01-13T11:55:00Z</cp:lastPrinted>
  <dcterms:created xsi:type="dcterms:W3CDTF">2025-09-30T06:23:00Z</dcterms:created>
  <dcterms:modified xsi:type="dcterms:W3CDTF">2026-01-13T12:00:00Z</dcterms:modified>
</cp:coreProperties>
</file>