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+*xfs*pvs*lsu*cvA*xBj*qkc*oEa*osi*ckk*vvB*pBk*-</w:t>
            </w:r>
            <w:r>
              <w:rPr>
                <w:rFonts w:ascii="PDF417x" w:hAnsi="PDF417x"/>
                <w:sz w:val="24"/>
                <w:szCs w:val="24"/>
              </w:rPr>
              <w:br/>
              <w:t>+*yqw*jlb*Ezr*Arm*yni*krn*ziv*scu*vro*jus*zew*-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+*eDs*lyd*lyd*lyd*lyd*bvB*jbb*DuC*Dgj*igw*zfE*-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+*ftw*lbj*ECk*fBk*gji*vEg*ots*tso*Dnl*dsw*onA*-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+*ftA*viE*ibx*gfy*jnj*wnD*yDd*tnm*Bjn*xdA*uws*-</w:t>
            </w:r>
            <w:r>
              <w:rPr>
                <w:rFonts w:ascii="PDF417x" w:hAnsi="PDF417x"/>
                <w:sz w:val="24"/>
                <w:szCs w:val="24"/>
              </w:rPr>
              <w:br/>
              <w:t>+*xjq*Bxc*jra*lCz*DCw*ckj*iij*bok*qlw*iab*uzq*-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437765F" w14:textId="77777777" w:rsidR="00071744" w:rsidRPr="00B06427" w:rsidRDefault="000E78FB" w:rsidP="00071744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</w:t>
      </w:r>
      <w:r w:rsidR="00071744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Ž U P A N</w:t>
      </w:r>
    </w:p>
    <w:p w14:paraId="6EC50D26" w14:textId="77777777" w:rsidR="00071744" w:rsidRPr="00952C14" w:rsidRDefault="00071744" w:rsidP="00071744">
      <w:pPr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952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307-01</w:t>
      </w:r>
      <w:r w:rsidRPr="00952C1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18966790" w14:textId="77777777" w:rsidR="00071744" w:rsidRPr="00952C14" w:rsidRDefault="00071744" w:rsidP="00071744">
      <w:pPr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952C14">
        <w:rPr>
          <w:rFonts w:ascii="Times New Roman" w:hAnsi="Times New Roman" w:cs="Times New Roman"/>
          <w:sz w:val="24"/>
          <w:szCs w:val="24"/>
        </w:rPr>
        <w:t xml:space="preserve"> 2140-06/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06</w:t>
      </w:r>
    </w:p>
    <w:p w14:paraId="5D0FC36C" w14:textId="77777777" w:rsidR="00071744" w:rsidRPr="00952C14" w:rsidRDefault="00071744" w:rsidP="00071744">
      <w:pPr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Krapina</w:t>
      </w:r>
      <w:r>
        <w:rPr>
          <w:rFonts w:ascii="Times New Roman" w:hAnsi="Times New Roman" w:cs="Times New Roman"/>
          <w:sz w:val="24"/>
          <w:szCs w:val="24"/>
        </w:rPr>
        <w:t>, 21.05.</w:t>
      </w:r>
      <w:r w:rsidRPr="00952C1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>.</w:t>
      </w:r>
    </w:p>
    <w:p w14:paraId="40C8E458" w14:textId="77777777" w:rsidR="00071744" w:rsidRPr="00952C14" w:rsidRDefault="00071744" w:rsidP="00071744">
      <w:pPr>
        <w:rPr>
          <w:rFonts w:ascii="Times New Roman" w:hAnsi="Times New Roman" w:cs="Times New Roman"/>
          <w:sz w:val="24"/>
          <w:szCs w:val="24"/>
        </w:rPr>
      </w:pPr>
    </w:p>
    <w:p w14:paraId="75ECE333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Na temelju točke Pravilnika za dodjelu potpora obrtnicima / gospodarstvenicima  Krapinsko-zagorske županije za sudjelovanje na gospodarskim sajmovima/manifestacijama u zemlji i inozemstvu („Službeni glasnik Krapinsko-zagorske županije“ br.17/25)</w:t>
      </w:r>
      <w:r>
        <w:rPr>
          <w:rFonts w:ascii="Times New Roman" w:hAnsi="Times New Roman" w:cs="Times New Roman"/>
          <w:sz w:val="24"/>
          <w:szCs w:val="24"/>
        </w:rPr>
        <w:t xml:space="preserve">, Izmjene </w:t>
      </w:r>
      <w:r w:rsidRPr="00952C14">
        <w:rPr>
          <w:rFonts w:ascii="Times New Roman" w:hAnsi="Times New Roman" w:cs="Times New Roman"/>
          <w:sz w:val="24"/>
          <w:szCs w:val="24"/>
        </w:rPr>
        <w:t>Pravilnika za dodjelu potpora obrtnicima / gospodarstvenicima  Krapinsko-zagorske županije za sudjelovanje na gospodarskim sajmovima/manifestacijama u zemlji i inozemstvu („Službeni glasnik Krapinsko-zagorske županije“ br.1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>) te članka 32. Statuta Krapinsko-zagorske županije („Službeni glasnik Krapinsko-zagorske županije“, br. 13/01., 5/06.,14/09., 11/13., 13/18., 5/20., 10/21.. i 15/21. – pročišćeni tekst),   župan Krapinsko-zagorske županije raspisuje</w:t>
      </w:r>
    </w:p>
    <w:p w14:paraId="1BD5169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F4FAD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43096FC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95597212"/>
      <w:r w:rsidRPr="00952C14">
        <w:rPr>
          <w:rFonts w:ascii="Times New Roman" w:hAnsi="Times New Roman" w:cs="Times New Roman"/>
          <w:b/>
          <w:sz w:val="24"/>
          <w:szCs w:val="24"/>
        </w:rPr>
        <w:t xml:space="preserve">za dodjelu potpora obrtnicima / gospodarstvenicima  Krapinsko-zagorske županije za sudjelovanje na gospodarskim sajmovima/manifestacijama u zemlji i inozemstvu </w:t>
      </w:r>
    </w:p>
    <w:p w14:paraId="771D140A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2C14">
        <w:rPr>
          <w:rFonts w:ascii="Times New Roman" w:hAnsi="Times New Roman" w:cs="Times New Roman"/>
          <w:b/>
          <w:sz w:val="24"/>
          <w:szCs w:val="24"/>
        </w:rPr>
        <w:t>. godini</w:t>
      </w:r>
    </w:p>
    <w:bookmarkEnd w:id="1"/>
    <w:p w14:paraId="3196C35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F9B51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I.</w:t>
      </w:r>
    </w:p>
    <w:p w14:paraId="5A8668A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5597362"/>
      <w:r w:rsidRPr="00952C14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b/>
          <w:sz w:val="24"/>
          <w:szCs w:val="24"/>
        </w:rPr>
        <w:t>Natječaja</w:t>
      </w:r>
    </w:p>
    <w:bookmarkEnd w:id="2"/>
    <w:p w14:paraId="716A0D82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52692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bCs/>
          <w:sz w:val="24"/>
          <w:szCs w:val="24"/>
        </w:rPr>
        <w:t>Natječaja</w:t>
      </w:r>
      <w:r w:rsidRPr="00952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C14">
        <w:rPr>
          <w:rFonts w:ascii="Times New Roman" w:hAnsi="Times New Roman" w:cs="Times New Roman"/>
          <w:sz w:val="24"/>
          <w:szCs w:val="24"/>
        </w:rPr>
        <w:t xml:space="preserve">za dodjelu potpora Krapinsko-zagorske županije za sudjelovanje na gospodarskim sajmovima u zemlji i inozemstvu su kriteriji i postupci za dodjelu bespovratnih potpora obrtnicima / gospodarstvenicima za aktivnosti koje se odnose za sudjelovanje i nastupe na sajmovima / manifestacijama u zemlji i inozemstvu (dalje u tekstu: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Pr="00952C14">
        <w:rPr>
          <w:rFonts w:ascii="Times New Roman" w:hAnsi="Times New Roman" w:cs="Times New Roman"/>
          <w:sz w:val="24"/>
          <w:szCs w:val="24"/>
        </w:rPr>
        <w:t>).</w:t>
      </w:r>
    </w:p>
    <w:p w14:paraId="50F569B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Sredstva za dodjelu bespovratnih financijskih potpora (dalje u tekstu: Potpora) osigurana su u Proračunu Krapinsko-zagorske županije.</w:t>
      </w:r>
    </w:p>
    <w:p w14:paraId="71E5273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E1004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>Podaci o davatelju potpore male vrijednosti</w:t>
      </w:r>
    </w:p>
    <w:p w14:paraId="3F595BB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Davatelj potpore male vrijednosti je Krapinsko-zagorska županija.</w:t>
      </w:r>
    </w:p>
    <w:p w14:paraId="62207BD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79FE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>Pravni temelj</w:t>
      </w:r>
    </w:p>
    <w:p w14:paraId="6BC3B00E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Potpore se dodjeljuju temeljem Uredbe Komisije (EU) br. 2023/2831 оd 13. prosinca 2023. o primjeni članaka 107. i 108. Ugovora o funkcioniranju Europske unije na de minimis potpore (Službeni list Europske unije, L2023/2831, dalje u tekstu: Uredba).</w:t>
      </w:r>
    </w:p>
    <w:p w14:paraId="4D45FE6C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E6076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II.</w:t>
      </w:r>
    </w:p>
    <w:p w14:paraId="21073F93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Prijavitelji Potpora</w:t>
      </w:r>
    </w:p>
    <w:p w14:paraId="2E1EA06D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D4E03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 xml:space="preserve">Prijavitelji potpora mogu biti </w:t>
      </w:r>
      <w:r w:rsidRPr="00BC0899">
        <w:rPr>
          <w:rFonts w:ascii="Times New Roman" w:hAnsi="Times New Roman" w:cs="Times New Roman"/>
          <w:bCs/>
          <w:sz w:val="24"/>
          <w:szCs w:val="24"/>
        </w:rPr>
        <w:t>mikro, mali i srednji poduzetnici</w:t>
      </w:r>
      <w:r w:rsidRPr="00952C14">
        <w:rPr>
          <w:rFonts w:ascii="Times New Roman" w:hAnsi="Times New Roman" w:cs="Times New Roman"/>
          <w:bCs/>
          <w:sz w:val="24"/>
          <w:szCs w:val="24"/>
        </w:rPr>
        <w:t xml:space="preserve"> odnosno trgovačka društva kao subjekti malog gospodarstva utvrđenim Zakonom o poticanju razvoja malog gospodarstva (NN br. 29/02, 63/07, 53/12, 56/13, 121/16)  i obrtnici koji kumulativno ispunjavaju sljedeće uvjete:</w:t>
      </w:r>
    </w:p>
    <w:p w14:paraId="7BA6AFD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52C1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70627"/>
      <w:r w:rsidRPr="00952C14">
        <w:rPr>
          <w:rFonts w:ascii="Times New Roman" w:hAnsi="Times New Roman" w:cs="Times New Roman"/>
          <w:sz w:val="24"/>
          <w:szCs w:val="24"/>
        </w:rPr>
        <w:t>Prijavitelj</w:t>
      </w:r>
      <w:bookmarkEnd w:id="3"/>
      <w:r w:rsidRPr="00952C14">
        <w:rPr>
          <w:rFonts w:ascii="Times New Roman" w:hAnsi="Times New Roman" w:cs="Times New Roman"/>
          <w:sz w:val="24"/>
          <w:szCs w:val="24"/>
        </w:rPr>
        <w:t xml:space="preserve">i trebaju imati sjedište na području Krapinsko-zagorske županije </w:t>
      </w:r>
    </w:p>
    <w:p w14:paraId="44B3BFE4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-  Prijavitelji su: obrti i trgovačka društva, </w:t>
      </w:r>
    </w:p>
    <w:p w14:paraId="3ED5551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-  Prijavitelji trebaju imati podmirene obveze poreza, prireza i doprinosa na i iz plaće, </w:t>
      </w:r>
    </w:p>
    <w:p w14:paraId="192DFCDE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191470863"/>
      <w:r w:rsidRPr="00952C14">
        <w:rPr>
          <w:rFonts w:ascii="Times New Roman" w:hAnsi="Times New Roman" w:cs="Times New Roman"/>
          <w:sz w:val="24"/>
          <w:szCs w:val="24"/>
        </w:rPr>
        <w:t xml:space="preserve"> Prijavitelji</w:t>
      </w:r>
      <w:bookmarkEnd w:id="4"/>
      <w:r w:rsidRPr="00952C14">
        <w:rPr>
          <w:rFonts w:ascii="Times New Roman" w:hAnsi="Times New Roman" w:cs="Times New Roman"/>
          <w:sz w:val="24"/>
          <w:szCs w:val="24"/>
        </w:rPr>
        <w:t xml:space="preserve"> trebaju imati podmirene obaveze prema zaposlenicima,</w:t>
      </w:r>
    </w:p>
    <w:p w14:paraId="144A9C41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- </w:t>
      </w:r>
      <w:bookmarkStart w:id="5" w:name="_Hlk191470866"/>
      <w:bookmarkStart w:id="6" w:name="_Hlk191470921"/>
      <w:r w:rsidRPr="00952C14">
        <w:rPr>
          <w:rFonts w:ascii="Times New Roman" w:hAnsi="Times New Roman" w:cs="Times New Roman"/>
          <w:sz w:val="24"/>
          <w:szCs w:val="24"/>
        </w:rPr>
        <w:t xml:space="preserve"> Prijavitelji</w:t>
      </w:r>
      <w:bookmarkEnd w:id="5"/>
      <w:r w:rsidRPr="00952C14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952C14">
        <w:rPr>
          <w:rFonts w:ascii="Times New Roman" w:hAnsi="Times New Roman" w:cs="Times New Roman"/>
          <w:sz w:val="24"/>
          <w:szCs w:val="24"/>
        </w:rPr>
        <w:t xml:space="preserve">moraju imati u cijelosti opravdane i namjenski iskorištene dodijeljene potpore </w:t>
      </w:r>
    </w:p>
    <w:p w14:paraId="0D5927A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lastRenderedPageBreak/>
        <w:t xml:space="preserve">   male vrijednosti ako su iste dobili,</w:t>
      </w:r>
    </w:p>
    <w:p w14:paraId="30531ACB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-  Prijavitelji moraju imati podmirene obveze prema Županiji,</w:t>
      </w:r>
    </w:p>
    <w:p w14:paraId="7F37B183" w14:textId="77777777" w:rsidR="00071744" w:rsidRPr="00952C14" w:rsidRDefault="00071744" w:rsidP="0007174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52C14">
        <w:rPr>
          <w:rFonts w:ascii="Times New Roman" w:hAnsi="Times New Roman"/>
          <w:sz w:val="24"/>
          <w:szCs w:val="24"/>
        </w:rPr>
        <w:t xml:space="preserve">-  Prijavitelji trebaju imati maksimalan iznos svih potpora male vrijednosti, a  koje jednom </w:t>
      </w:r>
    </w:p>
    <w:p w14:paraId="16A1F1A4" w14:textId="77777777" w:rsidR="00071744" w:rsidRPr="00952C14" w:rsidRDefault="00071744" w:rsidP="0007174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52C14">
        <w:rPr>
          <w:rFonts w:ascii="Times New Roman" w:hAnsi="Times New Roman"/>
          <w:sz w:val="24"/>
          <w:szCs w:val="24"/>
        </w:rPr>
        <w:t xml:space="preserve">   poduzetniku mogu biti dodijeljene tijekom razdoblja od tri prethodne godine ne smije </w:t>
      </w:r>
    </w:p>
    <w:p w14:paraId="5DBFEE94" w14:textId="77777777" w:rsidR="00071744" w:rsidRPr="00952C14" w:rsidRDefault="00071744" w:rsidP="0007174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52C14">
        <w:rPr>
          <w:rFonts w:ascii="Times New Roman" w:hAnsi="Times New Roman"/>
          <w:sz w:val="24"/>
          <w:szCs w:val="24"/>
        </w:rPr>
        <w:t xml:space="preserve">   premašiti 300.000 EUR. (uključujući i Potporu iz ovog  Pravilnika),</w:t>
      </w:r>
    </w:p>
    <w:p w14:paraId="273080FA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 -Prijavitelji u prethodnoj godini ne smiju imati negativan rezultat poslovanja odnosno gubitak </w:t>
      </w:r>
    </w:p>
    <w:p w14:paraId="0AD0CF2A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  (pri tome se amortizacija izuzima iz troškova tj. pozitivno utječe na promatrani rezultat).</w:t>
      </w:r>
    </w:p>
    <w:p w14:paraId="07A837A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BE0C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Potpore se dodjeljuju za aktivnosti koje su u funkciji obavljanja glavne djelatnosti prijavitelja prema </w:t>
      </w:r>
      <w:r w:rsidRPr="00952C14">
        <w:rPr>
          <w:rFonts w:ascii="Times New Roman" w:hAnsi="Times New Roman" w:cs="Times New Roman"/>
          <w:bCs/>
          <w:sz w:val="24"/>
          <w:szCs w:val="24"/>
        </w:rPr>
        <w:t xml:space="preserve">Odluci o Nacionalnoj klasifikaciji djelatnosti 2025. – NKD 2025. (NN br. 47/24) i to za područja: </w:t>
      </w:r>
    </w:p>
    <w:p w14:paraId="549A12D8" w14:textId="77777777" w:rsidR="00071744" w:rsidRPr="00952C14" w:rsidRDefault="00071744" w:rsidP="00071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 xml:space="preserve">PODRUČJE C / Prerađivačka industrija - prihvatljivi svi odjeljci;  </w:t>
      </w:r>
    </w:p>
    <w:p w14:paraId="35D1D44B" w14:textId="77777777" w:rsidR="00071744" w:rsidRPr="00952C14" w:rsidRDefault="00071744" w:rsidP="00071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PODRUČJE F / Građevinarstvo – odjeljak 43 Specijalizirane građevinske djelatnosti;</w:t>
      </w:r>
    </w:p>
    <w:p w14:paraId="4DCA0355" w14:textId="77777777" w:rsidR="00071744" w:rsidRPr="00952C14" w:rsidRDefault="00071744" w:rsidP="00071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 xml:space="preserve">PODRUČJE G / Trgovina na veliko i malo; </w:t>
      </w:r>
    </w:p>
    <w:p w14:paraId="59EEB5A9" w14:textId="77777777" w:rsidR="00071744" w:rsidRPr="00952C14" w:rsidRDefault="00071744" w:rsidP="00071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 xml:space="preserve">PODRUČJE I / Smještaj te priprema i usluživanje hrane - prihvatljivi svi odjeljci;  </w:t>
      </w:r>
    </w:p>
    <w:p w14:paraId="35BBEFC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BA2C2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Prijavitelji mogu biti i oni koju su ranijih godina već bili korisnici bespovratnih potpora za sudjelovanje na gospodarskim sajmovima/manifestacijama u zemlji i inozemstvu Županije te su uspješno opravdali dodijeljena sredstva potpore temeljem prošlih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952C14">
        <w:rPr>
          <w:rFonts w:ascii="Times New Roman" w:hAnsi="Times New Roman" w:cs="Times New Roman"/>
          <w:sz w:val="24"/>
          <w:szCs w:val="24"/>
        </w:rPr>
        <w:t xml:space="preserve"> i sklopljenih ugovora.</w:t>
      </w:r>
    </w:p>
    <w:p w14:paraId="3BCF95B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E570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 xml:space="preserve">Neće se uzeti u razmatranje prijave: </w:t>
      </w:r>
    </w:p>
    <w:p w14:paraId="2C4D9C6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70F9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- Prijavitelja nad kojim je otvoren stečajni postupak, postupak predstečajne nagodbe ili postupak likvidacije,</w:t>
      </w:r>
    </w:p>
    <w:p w14:paraId="4A9DCF5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- Prijavitelja nad čijim je pojedinačnim vlasnicima otvoren stečajni postupak, postupak predstečajne nagodbe ili postupak likvidacije,</w:t>
      </w:r>
    </w:p>
    <w:p w14:paraId="23286BB7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- Prijavitelja u čijem se većinskom vlasništvu nalaze druge pravne osobe nad kojima je otvoren stečajni postupak, postupak predstečajne nagodbe ili postupak likvidacije,</w:t>
      </w:r>
    </w:p>
    <w:p w14:paraId="60B911E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- Prijavitelja čiji pojedinačni vlasnici imaju u većinskom vlasništvu druge pravne osobe nad kojima je otvoren stečajni postupak, postupak predstečajne nagodbe ili postupak likvidacije,</w:t>
      </w:r>
    </w:p>
    <w:p w14:paraId="36F10DF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- ako je Prijavitelju, pojedinačnim vlasnicima prijavitelja ili osobama ovlaštenim za  zastupanje prijavitelja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zloupotreba položaja i ovlasti, nezakonito pogodovanje, primanje mita, davanje mita, trgovanje utjecajem, davanje mita za trgovanje utjecajem, zločinačko udruženje i počinjenje kaznenog djela u sastavu zločinačkog udruženja.</w:t>
      </w:r>
    </w:p>
    <w:p w14:paraId="58B14293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3E1B0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405E012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Sredstva Potpore</w:t>
      </w:r>
    </w:p>
    <w:p w14:paraId="5072092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E54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Financijska sredstva za dodjelu potpora za sudjelovanje na gospodarskim sajmovima / manifestacijama u zemlji i inozemstvu osigurana su u proračunu Županije, Razdjel 002 Upravni odjel za gospodarstvo, poljoprivredu, turizam, promet i komunalnu infrastrukturu, Aktivnost A1020003 Unapređenje konkurentnosti, Potpore gospodarstvenicima/obrtnicima za edukacije i nastupe na sajmovima.</w:t>
      </w:r>
    </w:p>
    <w:p w14:paraId="45C8980C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Sredstva Potpore su bespovratna, namjenska i odobravaju se kao de minimis potpora temeljem ovog Poziva i ista se  smatraju potporom male vrijednosti u smislu Uredbe Komisije (EU) 2023/2831 od 13. prosinca 2023. godine o primjeni članaka 107. i 108. Ugovora o funkcioniranju Europske unije na de minimis potpore (Službeni list Europske unije, L 2023/2831).</w:t>
      </w:r>
    </w:p>
    <w:p w14:paraId="3B7DEF5C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lastRenderedPageBreak/>
        <w:t>Sredstva Potpore dodijeliti  će se prijaviteljima  koji će ostvariti pravo na dodjelu potpore i to prema redoslijedu zaprimanja prijava do iskorištenja sredstava osiguranih u Proračunu Županije.</w:t>
      </w:r>
    </w:p>
    <w:p w14:paraId="69545E95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IV.</w:t>
      </w:r>
    </w:p>
    <w:p w14:paraId="64BD62E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Iznos i intenzitet potpore</w:t>
      </w:r>
    </w:p>
    <w:p w14:paraId="50872907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DE2D5" w14:textId="77777777" w:rsidR="0007174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30286914"/>
      <w:r w:rsidRPr="00952C14">
        <w:rPr>
          <w:rFonts w:ascii="Times New Roman" w:hAnsi="Times New Roman" w:cs="Times New Roman"/>
          <w:b/>
          <w:sz w:val="24"/>
          <w:szCs w:val="24"/>
        </w:rPr>
        <w:t>Iznos potpore</w:t>
      </w:r>
    </w:p>
    <w:p w14:paraId="1D33F7CC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60EAB" w14:textId="77777777" w:rsidR="0007174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Potpora može iznositi do 50 % prihvatljivih troškova, najviše do 2.000,00 EUR bez sredstava PDV-a.</w:t>
      </w:r>
    </w:p>
    <w:p w14:paraId="7C5DB3D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7"/>
    <w:p w14:paraId="31C9843E" w14:textId="77777777" w:rsidR="00071744" w:rsidRPr="00CD454B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CD454B">
        <w:rPr>
          <w:rFonts w:ascii="Times New Roman" w:hAnsi="Times New Roman" w:cs="Times New Roman"/>
          <w:sz w:val="24"/>
          <w:szCs w:val="24"/>
        </w:rPr>
        <w:t xml:space="preserve">Prijavitelj zahtjeva za potporu dužan je dostaviti račune i ponude koji ne smiju biti stariji od 01.01.2026. godine te isti moraju sadržavati osnovne podatke o Prijavitelju  (naziv obrta/t.d., OIB, adresa, prikazan neto iznos u EUR, iznos PDV-a, ujedno ako izrađivač računa / ponude nije u sustavu PDV-a isto treba biti napisano), također na navedenim računima i ponudama treba biti napisano na koje gospodarske sajmove / manifestacije se odnose i na taj način će se pratiti intenzitet razmatranja zahtjeva za potporu. </w:t>
      </w:r>
    </w:p>
    <w:p w14:paraId="1AE3147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5002F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V.</w:t>
      </w:r>
    </w:p>
    <w:p w14:paraId="3334D494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Namjena sredstava Potpora</w:t>
      </w:r>
    </w:p>
    <w:p w14:paraId="0CCC12E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DE7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952C14">
        <w:rPr>
          <w:rFonts w:ascii="Times New Roman" w:hAnsi="Times New Roman" w:cs="Times New Roman"/>
          <w:sz w:val="24"/>
          <w:szCs w:val="24"/>
        </w:rPr>
        <w:t xml:space="preserve"> svaki Prijavitelj može podnijeti jednu prijavu, a u skladu sa Pravilnikom bespovratna sredstva dodjeljuju se za:</w:t>
      </w:r>
    </w:p>
    <w:p w14:paraId="7EEE37F7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5F14D" w14:textId="77777777" w:rsidR="00071744" w:rsidRPr="00952C14" w:rsidRDefault="00071744" w:rsidP="00071744">
      <w:pPr>
        <w:numPr>
          <w:ilvl w:val="0"/>
          <w:numId w:val="2"/>
        </w:numPr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Trošak zakupa prostora na sajmu/manifestaciji (uključena sajmišna infrastruktura – vitrina, stol, stolci, info pult i sl.);</w:t>
      </w:r>
    </w:p>
    <w:p w14:paraId="7766C01B" w14:textId="77777777" w:rsidR="00071744" w:rsidRPr="00952C14" w:rsidRDefault="00071744" w:rsidP="00071744">
      <w:pPr>
        <w:numPr>
          <w:ilvl w:val="0"/>
          <w:numId w:val="2"/>
        </w:numPr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Trošak kotizacije za sudjelovanje;</w:t>
      </w:r>
    </w:p>
    <w:p w14:paraId="3BE4C14C" w14:textId="77777777" w:rsidR="00071744" w:rsidRPr="00952C14" w:rsidRDefault="00071744" w:rsidP="00071744">
      <w:pPr>
        <w:numPr>
          <w:ilvl w:val="0"/>
          <w:numId w:val="2"/>
        </w:numPr>
        <w:ind w:left="709" w:hanging="289"/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Troškovi izrade pisanog / tiskanog promidžbenog materijala i proizvoda vezanih uz nastup na sajmu / manifestaciji;</w:t>
      </w:r>
    </w:p>
    <w:p w14:paraId="51D85341" w14:textId="77777777" w:rsidR="00071744" w:rsidRPr="00952C14" w:rsidRDefault="00071744" w:rsidP="000717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Trošak prijevoza od mjesta sjedišta obrta / t.d. do mjesta održavanja sajma / manifestacije i natrag za prijavitelja potpore;</w:t>
      </w:r>
    </w:p>
    <w:p w14:paraId="72FECBDD" w14:textId="77777777" w:rsidR="00071744" w:rsidRPr="00952C14" w:rsidRDefault="00071744" w:rsidP="00071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Trošak slanja uzorka na domaća i međunarodna ocjenjivanja;</w:t>
      </w:r>
    </w:p>
    <w:p w14:paraId="33DFC2AA" w14:textId="77777777" w:rsidR="00071744" w:rsidRPr="00952C14" w:rsidRDefault="00071744" w:rsidP="00071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Trošak smještaja u vremenu trajanja sajma / manifestacije koji je vezan za nastup na sajmu / manifestaciji za prijavitelja potpore;</w:t>
      </w:r>
    </w:p>
    <w:p w14:paraId="2A3BC47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C880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Sredstva Potpore mogu se koristiti isključivo za pokriće opravdanih troškova vezanih uz aktivnosti pripreme i sudjelovanja odnosno nastupa na sajmovima /manifestacijama u zemlji i inozemstvu. </w:t>
      </w:r>
    </w:p>
    <w:p w14:paraId="7A2B7857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48ED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t>Pod opravdanim troškovima smatraju se slijedeći troškovi:</w:t>
      </w:r>
    </w:p>
    <w:p w14:paraId="59D914BD" w14:textId="77777777" w:rsidR="00071744" w:rsidRPr="00952C14" w:rsidRDefault="00071744" w:rsidP="00071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prihvatljivi su troškovi nastali nakon 01. siječnja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C14">
        <w:rPr>
          <w:rFonts w:ascii="Times New Roman" w:hAnsi="Times New Roman" w:cs="Times New Roman"/>
          <w:sz w:val="24"/>
          <w:szCs w:val="24"/>
        </w:rPr>
        <w:t xml:space="preserve">. godine do roka za realizaciju utvrđenog </w:t>
      </w:r>
      <w:r>
        <w:rPr>
          <w:rFonts w:ascii="Times New Roman" w:hAnsi="Times New Roman" w:cs="Times New Roman"/>
          <w:sz w:val="24"/>
          <w:szCs w:val="24"/>
        </w:rPr>
        <w:t>Natječajem</w:t>
      </w:r>
      <w:r w:rsidRPr="00952C14">
        <w:rPr>
          <w:rFonts w:ascii="Times New Roman" w:hAnsi="Times New Roman" w:cs="Times New Roman"/>
          <w:sz w:val="24"/>
          <w:szCs w:val="24"/>
        </w:rPr>
        <w:t>,</w:t>
      </w:r>
    </w:p>
    <w:p w14:paraId="77FD84E0" w14:textId="77777777" w:rsidR="00071744" w:rsidRPr="00952C14" w:rsidRDefault="00071744" w:rsidP="00071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za koje je predočen dokaz o stvarno nastalim i podmirenim troškovima (računi i bankovni izvodi),</w:t>
      </w:r>
    </w:p>
    <w:p w14:paraId="53DF8CFF" w14:textId="77777777" w:rsidR="00071744" w:rsidRDefault="00071744" w:rsidP="00071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vrijeme nastanka troškova utvrđuje se datumom izdavanja računa odabranog izvršitelja / isporučitelja.</w:t>
      </w:r>
    </w:p>
    <w:p w14:paraId="4230E3C9" w14:textId="77777777" w:rsidR="00071744" w:rsidRPr="00CD454B" w:rsidRDefault="00071744" w:rsidP="000717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9F64FE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Prihvatljiv trošak:</w:t>
      </w:r>
      <w:r w:rsidRPr="00952C14">
        <w:rPr>
          <w:rFonts w:ascii="Times New Roman" w:hAnsi="Times New Roman" w:cs="Times New Roman"/>
          <w:bCs/>
          <w:sz w:val="24"/>
          <w:szCs w:val="24"/>
        </w:rPr>
        <w:t xml:space="preserve"> dokazuje se računom i bankovnim izvatkom.</w:t>
      </w:r>
    </w:p>
    <w:p w14:paraId="45F24F5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Računi iz Republike Hrvatske i inozemstva moraju glasiti na Prijavitelja i to sa specificiranim troškovima, nazivom troška i cijenom u EUR.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2C14">
        <w:rPr>
          <w:rFonts w:ascii="Times New Roman" w:hAnsi="Times New Roman" w:cs="Times New Roman"/>
          <w:bCs/>
          <w:sz w:val="24"/>
          <w:szCs w:val="24"/>
        </w:rPr>
        <w:t>Uz račun mora biti dostavljen dokaz da je isti plaćen (ako je račun plaćen po ponudi obvezno je dostaviti ponudu / predračun).</w:t>
      </w:r>
    </w:p>
    <w:p w14:paraId="7BDAD27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C8DD8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</w:rPr>
        <w:lastRenderedPageBreak/>
        <w:t>Neprihvatljiv trošak:</w:t>
      </w:r>
      <w:r w:rsidRPr="00952C14">
        <w:rPr>
          <w:rFonts w:ascii="Times New Roman" w:hAnsi="Times New Roman" w:cs="Times New Roman"/>
          <w:sz w:val="24"/>
          <w:szCs w:val="24"/>
        </w:rPr>
        <w:t xml:space="preserve"> porez na dodanu vrijednost (PDV) </w:t>
      </w:r>
    </w:p>
    <w:p w14:paraId="78E628E0" w14:textId="77777777" w:rsidR="00071744" w:rsidRPr="00952C14" w:rsidRDefault="00071744" w:rsidP="00071744">
      <w:pPr>
        <w:rPr>
          <w:rFonts w:ascii="Times New Roman" w:hAnsi="Times New Roman" w:cs="Times New Roman"/>
          <w:b/>
          <w:sz w:val="24"/>
          <w:szCs w:val="24"/>
        </w:rPr>
      </w:pPr>
    </w:p>
    <w:p w14:paraId="30BB0E1D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VI.</w:t>
      </w:r>
    </w:p>
    <w:p w14:paraId="13194861" w14:textId="77777777" w:rsidR="0007174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Način odabira Prijavitelja  potpore</w:t>
      </w:r>
    </w:p>
    <w:p w14:paraId="4BFA5C8C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BD403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Podnositelji prijava podnose zahtjev za dodjelu sredstava sa dokumentacijom traženu </w:t>
      </w:r>
      <w:r>
        <w:rPr>
          <w:rFonts w:ascii="Times New Roman" w:hAnsi="Times New Roman" w:cs="Times New Roman"/>
          <w:sz w:val="24"/>
          <w:szCs w:val="24"/>
        </w:rPr>
        <w:t>Natječajem</w:t>
      </w:r>
      <w:r w:rsidRPr="00952C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C14">
        <w:rPr>
          <w:rFonts w:ascii="Times New Roman" w:hAnsi="Times New Roman" w:cs="Times New Roman"/>
          <w:sz w:val="24"/>
          <w:szCs w:val="24"/>
        </w:rPr>
        <w:t xml:space="preserve">Zahtjevi s nepotpunim podacima i nepotpunom dokumentacijom, zahtjevi pristigli nakon roka za podnošenje prijava kao i zahtjevi koje se ne odnose na predmet Poziva </w:t>
      </w:r>
      <w:r w:rsidRPr="00952C14">
        <w:rPr>
          <w:rFonts w:ascii="Times New Roman" w:hAnsi="Times New Roman" w:cs="Times New Roman"/>
          <w:b/>
          <w:bCs/>
          <w:sz w:val="24"/>
          <w:szCs w:val="24"/>
        </w:rPr>
        <w:t>neće biti razmatrani.</w:t>
      </w:r>
    </w:p>
    <w:p w14:paraId="1D56A57A" w14:textId="77777777" w:rsidR="00071744" w:rsidRPr="00952C14" w:rsidRDefault="00071744" w:rsidP="0007174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70513" w14:textId="77777777" w:rsidR="00071744" w:rsidRPr="00952C14" w:rsidRDefault="00071744" w:rsidP="00071744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Temeljem Odluke o dodijeli potpore  Primatelj potpore će s Županijom sklopiti Ugovor o dodijeli potpore kojim se će se utvrditi međusobna prava i obveze.</w:t>
      </w:r>
    </w:p>
    <w:p w14:paraId="2E2A75E2" w14:textId="77777777" w:rsidR="00071744" w:rsidRPr="00952C14" w:rsidRDefault="00071744" w:rsidP="0007174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14:paraId="2DF9199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Po potpisu Ugovora Primatelju potpore kojemu će se isplatiti iznos od 50% dodijeljene potpore u roku od 30 dana od dana potpisa ugovora dužan je dostaviti Županiji bjanko zadužnicu koja glasi na prvi veći iznos od iznosa odobrenih sredstava i to solemniziranu od strane javnog bilježnika</w:t>
      </w:r>
      <w:bookmarkStart w:id="8" w:name="_Hlk190425610"/>
      <w:r w:rsidRPr="00952C14">
        <w:rPr>
          <w:rFonts w:ascii="Times New Roman" w:hAnsi="Times New Roman" w:cs="Times New Roman"/>
          <w:sz w:val="24"/>
          <w:szCs w:val="24"/>
        </w:rPr>
        <w:t xml:space="preserve">, a ostatak potpore biti će isplaćen nakon dostave Izvješća o namjenskom korištenju potpore s popratnom dokumentacijom te njegova prihvaćanja od strane davatelja potpore. </w:t>
      </w:r>
    </w:p>
    <w:bookmarkEnd w:id="8"/>
    <w:p w14:paraId="4858BD48" w14:textId="77777777" w:rsidR="00071744" w:rsidRPr="00952C14" w:rsidRDefault="00071744" w:rsidP="00071744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F6248CD" w14:textId="77777777" w:rsidR="00071744" w:rsidRPr="00952C14" w:rsidRDefault="00071744" w:rsidP="0007174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52C14">
        <w:rPr>
          <w:rFonts w:ascii="Times New Roman" w:hAnsi="Times New Roman"/>
          <w:sz w:val="24"/>
          <w:szCs w:val="24"/>
        </w:rPr>
        <w:t>Temeljem Odluke o dodjeli potpore ista mogu biti isplaćena u 100 % iznosu dodijeljene potpore u roku od 30 dana od dana potpisivanja ugovora s Primateljem koji je dostavio Izvješće s dokumentacijom te je isto prihvaćeno od strane davatelja potpore.</w:t>
      </w:r>
    </w:p>
    <w:p w14:paraId="488FAB8D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Primatelj kojem je temeljem Odluke i Ugovora isplaćen 100 % iznos potpore ne treba dostaviti bjanko zadužnicu solemniziranu od strane javnog bilježnika.</w:t>
      </w:r>
    </w:p>
    <w:p w14:paraId="4AB51A3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BB693A" w14:textId="77777777" w:rsidR="00071744" w:rsidRPr="00952C14" w:rsidRDefault="00071744" w:rsidP="00071744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Ukoliko se nakon dostave Izvješća o namjenskom korištenju (Prilog 6.) potpore utvrdi da je Primatelj utrošio manje sredstava nego je navedeno u prijavi, isplatit će mu se ostatak sredstava potpore proporcionalno razlici utrošenih sredstava u odnosu na prijavljena.</w:t>
      </w:r>
    </w:p>
    <w:p w14:paraId="50C0A73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BDE52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VII.</w:t>
      </w:r>
    </w:p>
    <w:p w14:paraId="52ECB47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Dokumentacija za prijavu potpore</w:t>
      </w:r>
    </w:p>
    <w:p w14:paraId="5DD55BA1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9141E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C14">
        <w:rPr>
          <w:rFonts w:ascii="Times New Roman" w:hAnsi="Times New Roman" w:cs="Times New Roman"/>
          <w:sz w:val="24"/>
          <w:szCs w:val="24"/>
          <w:u w:val="single"/>
        </w:rPr>
        <w:t>Prijavitelji potpore uz zahtjevi za potporu  trebaju dostaviti slijedeće:</w:t>
      </w:r>
    </w:p>
    <w:p w14:paraId="0BF59A91" w14:textId="77777777" w:rsidR="00071744" w:rsidRPr="00952C14" w:rsidRDefault="00071744" w:rsidP="00071744">
      <w:pPr>
        <w:numPr>
          <w:ilvl w:val="0"/>
          <w:numId w:val="1"/>
        </w:numPr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Popunjen i ovjeren obrazac Zahtjeva koji je sastavni dio ovog Pravilnika </w:t>
      </w:r>
    </w:p>
    <w:p w14:paraId="68377415" w14:textId="77777777" w:rsidR="00071744" w:rsidRPr="00952C14" w:rsidRDefault="00071744" w:rsidP="00071744">
      <w:pPr>
        <w:ind w:left="10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(Prilog 1-Zahtjev);</w:t>
      </w:r>
    </w:p>
    <w:p w14:paraId="326D2771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Popunjenu Izjavu o korištenim državnim potporama male vrijednosti </w:t>
      </w:r>
    </w:p>
    <w:p w14:paraId="208EDD6A" w14:textId="77777777" w:rsidR="00071744" w:rsidRPr="00952C14" w:rsidRDefault="00071744" w:rsidP="00071744">
      <w:pPr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(Prilog 2-Izjava o de minimis potporama);</w:t>
      </w:r>
    </w:p>
    <w:p w14:paraId="23D0EA4D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Ispunjen obrazac izjave o korištenim potporama male vrijednosti povezanih osoba (</w:t>
      </w:r>
      <w:r w:rsidRPr="00952C14">
        <w:rPr>
          <w:rFonts w:ascii="Times New Roman" w:hAnsi="Times New Roman" w:cs="Times New Roman"/>
          <w:b/>
          <w:sz w:val="24"/>
          <w:szCs w:val="24"/>
        </w:rPr>
        <w:t>Prilog 3 - Izjava za povezane subjekte</w:t>
      </w:r>
      <w:r w:rsidRPr="00952C14">
        <w:rPr>
          <w:rFonts w:ascii="Times New Roman" w:hAnsi="Times New Roman" w:cs="Times New Roman"/>
          <w:bCs/>
          <w:sz w:val="24"/>
          <w:szCs w:val="24"/>
        </w:rPr>
        <w:t>)</w:t>
      </w:r>
    </w:p>
    <w:p w14:paraId="20B947B1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Ispunjen obrazac skupne izjave – (</w:t>
      </w:r>
      <w:r w:rsidRPr="00952C14">
        <w:rPr>
          <w:rFonts w:ascii="Times New Roman" w:hAnsi="Times New Roman" w:cs="Times New Roman"/>
          <w:b/>
          <w:sz w:val="24"/>
          <w:szCs w:val="24"/>
        </w:rPr>
        <w:t>Prilog 4 – Skupna izjava)</w:t>
      </w:r>
    </w:p>
    <w:p w14:paraId="7F002238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Popunjenu i ovjerenu izjavu o zabrani dvostrukog financiranja (</w:t>
      </w:r>
      <w:r w:rsidRPr="00952C14">
        <w:rPr>
          <w:rFonts w:ascii="Times New Roman" w:hAnsi="Times New Roman" w:cs="Times New Roman"/>
          <w:b/>
          <w:sz w:val="24"/>
          <w:szCs w:val="24"/>
        </w:rPr>
        <w:t>Prilog 5 – Izjava o zabrani dvostrukog financiranja</w:t>
      </w:r>
      <w:r w:rsidRPr="00952C14">
        <w:rPr>
          <w:rFonts w:ascii="Times New Roman" w:hAnsi="Times New Roman" w:cs="Times New Roman"/>
          <w:bCs/>
          <w:sz w:val="24"/>
          <w:szCs w:val="24"/>
        </w:rPr>
        <w:t>),</w:t>
      </w:r>
    </w:p>
    <w:p w14:paraId="432DC524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Potvrdu Porezne uprave o nepostojanju duga po osnovu javnih davanja</w:t>
      </w:r>
    </w:p>
    <w:p w14:paraId="4DF0C73A" w14:textId="77777777" w:rsidR="00071744" w:rsidRPr="00952C14" w:rsidRDefault="00071744" w:rsidP="00071744">
      <w:pPr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(ne starija od 30 dana do dana podnošenja zahtjeva, e-Porezna);</w:t>
      </w:r>
    </w:p>
    <w:p w14:paraId="2917CB0C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Potvrda banke o IBAN-u žiro-računa / poslovnog računa koji glasi na podnositelja zahtjeva ili preslika kartice bankovnog računa s istaknutim IBAN-om., </w:t>
      </w:r>
    </w:p>
    <w:p w14:paraId="10D55012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 xml:space="preserve">JOPPD </w:t>
      </w:r>
      <w:r w:rsidRPr="00952C14">
        <w:rPr>
          <w:rFonts w:ascii="Times New Roman" w:hAnsi="Times New Roman" w:cs="Times New Roman"/>
          <w:sz w:val="24"/>
          <w:szCs w:val="24"/>
        </w:rPr>
        <w:t>obrazac sa stranicama A i B za zadnja tri mjeseca</w:t>
      </w:r>
      <w:r w:rsidRPr="00952C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2C14">
        <w:rPr>
          <w:rFonts w:ascii="Times New Roman" w:hAnsi="Times New Roman" w:cs="Times New Roman"/>
          <w:sz w:val="24"/>
          <w:szCs w:val="24"/>
        </w:rPr>
        <w:t>e-Porezna,</w:t>
      </w:r>
    </w:p>
    <w:p w14:paraId="626D8BAB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C14">
        <w:rPr>
          <w:rFonts w:ascii="Times New Roman" w:hAnsi="Times New Roman" w:cs="Times New Roman"/>
          <w:bCs/>
          <w:sz w:val="24"/>
          <w:szCs w:val="24"/>
        </w:rPr>
        <w:t>Dokumentacija u vezi s troškovima nastupa na sajmu/manifestaciji: ponude, predračuni ili računi za sve troškove prijavljenog nastupa na sajmu/manifestaciji,</w:t>
      </w:r>
    </w:p>
    <w:p w14:paraId="1F9403C1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Dokumentaciju o nagradama, priznanjima podnositelja Zahtjeva (ukoliko postoji);</w:t>
      </w:r>
    </w:p>
    <w:p w14:paraId="0C60B46B" w14:textId="77777777" w:rsidR="0007174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Ostalu dokumentacija na zahtjev Županije.</w:t>
      </w:r>
    </w:p>
    <w:p w14:paraId="74F63446" w14:textId="77777777" w:rsidR="0007174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6AEAB" w14:textId="77777777" w:rsidR="00071744" w:rsidRPr="00BC0899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84E83" w14:textId="1A462C45" w:rsidR="00071744" w:rsidRDefault="00071744" w:rsidP="00071744">
      <w:pPr>
        <w:tabs>
          <w:tab w:val="center" w:pos="4888"/>
          <w:tab w:val="left" w:pos="6000"/>
        </w:tabs>
        <w:ind w:left="705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lastRenderedPageBreak/>
        <w:tab/>
        <w:t>VIII.</w:t>
      </w:r>
      <w:r w:rsidRPr="00952C14">
        <w:rPr>
          <w:rFonts w:ascii="Times New Roman" w:hAnsi="Times New Roman" w:cs="Times New Roman"/>
          <w:b/>
          <w:sz w:val="24"/>
          <w:szCs w:val="24"/>
        </w:rPr>
        <w:tab/>
      </w:r>
    </w:p>
    <w:p w14:paraId="34B8C883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Kriteriji za odabir prijava</w:t>
      </w:r>
    </w:p>
    <w:p w14:paraId="2FF12A0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Vrednovanje i rang lista potencijalnih korisnika Potpora (dalje u tekstu: Rang lista) sačiniti će se temeljem slijedećih kriterija: </w:t>
      </w:r>
    </w:p>
    <w:tbl>
      <w:tblPr>
        <w:tblW w:w="8221" w:type="dxa"/>
        <w:tblInd w:w="274" w:type="dxa"/>
        <w:tblLook w:val="04A0" w:firstRow="1" w:lastRow="0" w:firstColumn="1" w:lastColumn="0" w:noHBand="0" w:noVBand="1"/>
      </w:tblPr>
      <w:tblGrid>
        <w:gridCol w:w="862"/>
        <w:gridCol w:w="6180"/>
        <w:gridCol w:w="1179"/>
      </w:tblGrid>
      <w:tr w:rsidR="00071744" w:rsidRPr="00525C78" w14:paraId="057D85FA" w14:textId="77777777" w:rsidTr="00071744">
        <w:trPr>
          <w:trHeight w:val="32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1E5F94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7E97FA9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Kriteriji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27766E9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Bodovi</w:t>
            </w:r>
          </w:p>
        </w:tc>
      </w:tr>
      <w:tr w:rsidR="00071744" w:rsidRPr="00525C78" w14:paraId="0DC3DAD1" w14:textId="77777777" w:rsidTr="00071744">
        <w:trPr>
          <w:trHeight w:val="365"/>
        </w:trPr>
        <w:tc>
          <w:tcPr>
            <w:tcW w:w="862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B89899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2670EB9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Prisutnost na tržištu:</w:t>
            </w:r>
          </w:p>
        </w:tc>
        <w:tc>
          <w:tcPr>
            <w:tcW w:w="11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550A78A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1 - 4</w:t>
            </w:r>
          </w:p>
        </w:tc>
      </w:tr>
      <w:tr w:rsidR="00071744" w:rsidRPr="00525C78" w14:paraId="7BF5C2F3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3B3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D57F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poduzetnik početnik (do 1 godine)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65302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5F7FC8B7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E29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37B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od 2 do 5 godina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8528E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2A3A7DE1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C4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F4F3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c) od 5 do 10 godina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DE0A3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744" w:rsidRPr="00525C78" w14:paraId="57A879F2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E66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943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d) preko 10 godina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1A4A7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744" w:rsidRPr="00525C78" w14:paraId="6F79931A" w14:textId="77777777" w:rsidTr="00071744">
        <w:trPr>
          <w:trHeight w:val="357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755B1F43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43CB523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Prosječna mjesečna neto plaća: (izvor: FINA)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6A1CD73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1 - 4</w:t>
            </w:r>
          </w:p>
        </w:tc>
      </w:tr>
      <w:tr w:rsidR="00071744" w:rsidRPr="00525C78" w14:paraId="0C98C132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2DC7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035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do 20% iznad zakonskom minimuma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66BE2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2DD57510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607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DC7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od 21 do 50% iznad zakonskom minimuma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EBD19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1B0460B5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B88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264F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c) od 51 do 100% iznad zakonskom minimuma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436EF4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744" w:rsidRPr="00525C78" w14:paraId="5A7B164C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BFF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5A1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d) preko 100% iznad zakonskom minimuma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E9269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744" w:rsidRPr="00525C78" w14:paraId="5CADC28A" w14:textId="77777777" w:rsidTr="00071744">
        <w:trPr>
          <w:trHeight w:val="35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F134377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1100E9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Broj zaposlenih na dan predaje Zahtjeva: (izvor: JOPPD obrazac)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400D637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1 - 4</w:t>
            </w:r>
          </w:p>
        </w:tc>
      </w:tr>
      <w:tr w:rsidR="00071744" w:rsidRPr="00525C78" w14:paraId="79E9D19C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2112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697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do 5 zaposlenih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6C970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41193B03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3C32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FAA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od 6 do 15 zaposlenih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FC536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03D9E6F5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C7B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B6D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c) od 16 do 30 zaposlenih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68C1A7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744" w:rsidRPr="00525C78" w14:paraId="506E59C3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DFCD3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10D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d) preko 30 zaposlenih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E8721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744" w:rsidRPr="00525C78" w14:paraId="0300B20A" w14:textId="77777777" w:rsidTr="00071744">
        <w:trPr>
          <w:trHeight w:val="352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476738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F3A7B73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Nagrade i priznanja: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419EC537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1 - 2</w:t>
            </w:r>
          </w:p>
        </w:tc>
      </w:tr>
      <w:tr w:rsidR="00071744" w:rsidRPr="00525C78" w14:paraId="3DC492D4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E20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045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domaća ili međunarodna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D537A4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0979161C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996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85E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domaća i međunarodna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C79A5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69517636" w14:textId="77777777" w:rsidTr="00071744">
        <w:trPr>
          <w:trHeight w:val="54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551F87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4B64506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Udio izvoza u ukupnim prihodima (u prethodnoj kalendarskoj godini) (izvor: FINA)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4F82D5D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1 - 4 </w:t>
            </w:r>
          </w:p>
        </w:tc>
      </w:tr>
      <w:tr w:rsidR="00071744" w:rsidRPr="00525C78" w14:paraId="7AEDDCB8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D3C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A45A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do 10%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8FCE6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78370C01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6B91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62B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od 11 do 25%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387D9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48084D69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6FC1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46CF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c) od 26 do 50%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394B3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744" w:rsidRPr="00525C78" w14:paraId="49A26168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7E5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1EE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d) preko 50%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B9814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744" w:rsidRPr="00525C78" w14:paraId="4B2CDE06" w14:textId="77777777" w:rsidTr="00071744">
        <w:trPr>
          <w:trHeight w:val="341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757FA4FA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CE8EEA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Udio uvoza u ukupnim prihodima (u prethodnoj kalendarskoj godini) (izvor:FINA)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4F1747D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1 - 4</w:t>
            </w:r>
          </w:p>
        </w:tc>
      </w:tr>
      <w:tr w:rsidR="00071744" w:rsidRPr="00525C78" w14:paraId="41EF814B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65DF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DFBF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do 10%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E2840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5A3ABCF8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ED0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8DD2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od 11 do 25%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CE8E6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68C07E70" w14:textId="77777777" w:rsidTr="00071744">
        <w:trPr>
          <w:trHeight w:val="360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59FA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842A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c) od 26 do 50%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332FE1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744" w:rsidRPr="00525C78" w14:paraId="368600B5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7544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7EBB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d) preko 50%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49B4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744" w:rsidRPr="00525C78" w14:paraId="0CCE3E69" w14:textId="77777777" w:rsidTr="00071744">
        <w:trPr>
          <w:trHeight w:val="24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FAA4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4C1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5C87B0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1744" w:rsidRPr="00525C78" w14:paraId="035F03CD" w14:textId="77777777" w:rsidTr="00071744">
        <w:trPr>
          <w:trHeight w:val="331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F3D02F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42A74F6A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Urednost u ispunjavanju duga temeljem javnih davanja: (potvrda PU)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279E6A41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1 - 2</w:t>
            </w:r>
          </w:p>
        </w:tc>
      </w:tr>
      <w:tr w:rsidR="00071744" w:rsidRPr="00525C78" w14:paraId="7122A0D5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18E2F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8A28C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a) reguliran dug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60D044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1744" w:rsidRPr="00525C78" w14:paraId="11F5E5F5" w14:textId="77777777" w:rsidTr="00071744">
        <w:trPr>
          <w:trHeight w:val="36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10D4E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841F9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   b) nepostojanje duga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37E91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1744" w:rsidRPr="00525C78" w14:paraId="4B2B252B" w14:textId="77777777" w:rsidTr="00071744">
        <w:trPr>
          <w:trHeight w:val="233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2183B03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40CCB8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Blokada poslovnog račun  (izvor: FINA)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09E9032A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0 - 2</w:t>
            </w:r>
          </w:p>
        </w:tc>
      </w:tr>
      <w:tr w:rsidR="00071744" w:rsidRPr="00525C78" w14:paraId="5F2CFF32" w14:textId="77777777" w:rsidTr="00071744">
        <w:trPr>
          <w:trHeight w:val="24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454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9EF6" w14:textId="77777777" w:rsidR="00071744" w:rsidRPr="00525C78" w:rsidRDefault="00071744" w:rsidP="00FD51C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 xml:space="preserve">Blokada računa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5C120A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1744" w:rsidRPr="00525C78" w14:paraId="7B96FA02" w14:textId="77777777" w:rsidTr="00071744">
        <w:trPr>
          <w:trHeight w:val="24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FAC7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876D" w14:textId="77777777" w:rsidR="00071744" w:rsidRPr="00525C78" w:rsidRDefault="00071744" w:rsidP="00FD51C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Račun nije blokiran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CB1FFD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</w:tr>
      <w:tr w:rsidR="00071744" w:rsidRPr="00525C78" w14:paraId="1B890CDF" w14:textId="77777777" w:rsidTr="00071744">
        <w:trPr>
          <w:trHeight w:val="201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021B68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E24835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b/>
                <w:sz w:val="20"/>
                <w:szCs w:val="20"/>
              </w:rPr>
              <w:t>UKUPNO BODOVA: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</w:tcPr>
          <w:p w14:paraId="1CF91AE2" w14:textId="77777777" w:rsidR="00071744" w:rsidRPr="00525C78" w:rsidRDefault="00071744" w:rsidP="00FD51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C7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</w:tbl>
    <w:p w14:paraId="73BF8666" w14:textId="77777777" w:rsidR="00071744" w:rsidRPr="00525C78" w:rsidRDefault="00071744" w:rsidP="0007174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3EA8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lastRenderedPageBreak/>
        <w:t xml:space="preserve">U slučaju da dva ili više Prijavitelja temeljem navedenih kriterija ostvare jednak broj bodova, prednost ima onaj koji u posljednje tri godine nije primio potporu od strane Krapinsko-zagorske županije.  U slučaju da i nakon primjene dodatno navedenog kriterija iz prethodnog stavka  ove točke dva ili više Prijavitelja imaju jednak broj bodova, prednost će imati prijava koja ima kvalitetnije financijske pokazatelje, a što će utvrditi Povjerenstvo. </w:t>
      </w:r>
    </w:p>
    <w:p w14:paraId="6698C6B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BF828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IX.</w:t>
      </w:r>
    </w:p>
    <w:p w14:paraId="7C3BC74E" w14:textId="77777777" w:rsidR="0007174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A050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Nadzor namjenskog korištenja sredstava Potpora</w:t>
      </w:r>
    </w:p>
    <w:p w14:paraId="4480BE8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A361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Od strane Upravnog odjela provodi se nadzor nad namjenskim trošenjem sredstava potpora temeljem dostavljenih financijskih izvješća s pratećom dokumentacijom koja je definirana </w:t>
      </w:r>
      <w:r>
        <w:rPr>
          <w:rFonts w:ascii="Times New Roman" w:hAnsi="Times New Roman" w:cs="Times New Roman"/>
          <w:sz w:val="24"/>
          <w:szCs w:val="24"/>
        </w:rPr>
        <w:t>Natječajem</w:t>
      </w:r>
      <w:r w:rsidRPr="00952C14">
        <w:rPr>
          <w:rFonts w:ascii="Times New Roman" w:hAnsi="Times New Roman" w:cs="Times New Roman"/>
          <w:sz w:val="24"/>
          <w:szCs w:val="24"/>
        </w:rPr>
        <w:t xml:space="preserve">. Ukoliko se nadzorom namjenskog korištenja sredstava potpore utvrdi da nije bilo povreda namjenskog korištenja sredstva potpore, bjanko zadužnica iz Ugovora vratiti će se Primatelju  potpore nakon provjere Izvještaja o namjenskom korištenju potpore. </w:t>
      </w:r>
    </w:p>
    <w:p w14:paraId="7A9992D3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C14">
        <w:rPr>
          <w:rFonts w:ascii="Times New Roman" w:hAnsi="Times New Roman" w:cs="Times New Roman"/>
          <w:sz w:val="24"/>
          <w:szCs w:val="24"/>
          <w:u w:val="single"/>
        </w:rPr>
        <w:t>Obveze Primatelja potpora su:</w:t>
      </w:r>
    </w:p>
    <w:p w14:paraId="70A2A8A1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sredstva potpore treba iskoristiti namjenski do kraja tekuće godine u kojoj su ista odobrena;</w:t>
      </w:r>
    </w:p>
    <w:p w14:paraId="2B2C0B9F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nakon iskorištenja sredstava potpore u roku definiranom Ugovorom o dodijeli potpore, treba Županiji dostaviti financijsko izvješće o opravdanim troškovima sudjelovanja na manifestacijama/sajmu u zemlji ili inozemstvu s dokumentacijom </w:t>
      </w:r>
    </w:p>
    <w:p w14:paraId="53C6923A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koja potvrđuje navode u izvješću (računi za robu, usluge i sl. s izvodima iz poslovnog računa kojima se dokazuje plaćanje navedenih računa)  </w:t>
      </w:r>
      <w:r w:rsidRPr="00952C14">
        <w:rPr>
          <w:rFonts w:ascii="Times New Roman" w:hAnsi="Times New Roman" w:cs="Times New Roman"/>
          <w:b/>
          <w:bCs/>
          <w:sz w:val="24"/>
          <w:szCs w:val="24"/>
        </w:rPr>
        <w:t>Izvještaj o namjenskom korištenju sredstava potpore</w:t>
      </w:r>
      <w:r w:rsidRPr="00952C14">
        <w:rPr>
          <w:rFonts w:ascii="Times New Roman" w:hAnsi="Times New Roman" w:cs="Times New Roman"/>
          <w:sz w:val="24"/>
          <w:szCs w:val="24"/>
        </w:rPr>
        <w:t xml:space="preserve"> </w:t>
      </w:r>
      <w:r w:rsidRPr="00952C14">
        <w:rPr>
          <w:rFonts w:ascii="Times New Roman" w:hAnsi="Times New Roman" w:cs="Times New Roman"/>
          <w:b/>
          <w:sz w:val="24"/>
          <w:szCs w:val="24"/>
        </w:rPr>
        <w:t>(Prilog 6.);</w:t>
      </w:r>
    </w:p>
    <w:p w14:paraId="03E48F25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na zahtjev Upravnog odjelu za gospodarstvo, poljoprivredu, turizam, promet i komunalnu infrastrukturu omogućiti uvid u naknadno traženu dokumentaciju.</w:t>
      </w:r>
    </w:p>
    <w:p w14:paraId="72542A46" w14:textId="77777777" w:rsidR="00071744" w:rsidRPr="00952C14" w:rsidRDefault="00071744" w:rsidP="00071744">
      <w:pPr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1E6A33D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C14">
        <w:rPr>
          <w:rFonts w:ascii="Times New Roman" w:hAnsi="Times New Roman" w:cs="Times New Roman"/>
          <w:sz w:val="24"/>
          <w:szCs w:val="24"/>
          <w:u w:val="single"/>
        </w:rPr>
        <w:t>Povrat sredstava potpore:</w:t>
      </w:r>
    </w:p>
    <w:p w14:paraId="28110C8A" w14:textId="77777777" w:rsidR="00071744" w:rsidRPr="00952C14" w:rsidRDefault="00071744" w:rsidP="00071744">
      <w:pPr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1AD882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OLE_LINK1"/>
      <w:r w:rsidRPr="00952C14">
        <w:rPr>
          <w:rFonts w:ascii="Times New Roman" w:hAnsi="Times New Roman" w:cs="Times New Roman"/>
          <w:sz w:val="24"/>
          <w:szCs w:val="24"/>
        </w:rPr>
        <w:t xml:space="preserve">U slučaju nepoštivanja odredbi iz točke VI. ovog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952C14">
        <w:rPr>
          <w:rFonts w:ascii="Times New Roman" w:hAnsi="Times New Roman" w:cs="Times New Roman"/>
          <w:sz w:val="24"/>
          <w:szCs w:val="24"/>
        </w:rPr>
        <w:t xml:space="preserve"> Korisnik je dužan vratiti Županiji isplaćeni iznos dodijeljene potpore uvećan za iznos zateznih kamata koje se računaju od dana isplate potpore Korisniku i to u slučajevima kada:</w:t>
      </w:r>
    </w:p>
    <w:p w14:paraId="6DF0CCEA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nije izvršio ni jednu prihvatljivu aktivnost utvrđenu Ugovorom,</w:t>
      </w:r>
    </w:p>
    <w:p w14:paraId="49F2171B" w14:textId="77777777" w:rsidR="00071744" w:rsidRPr="00952C14" w:rsidRDefault="00071744" w:rsidP="00071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se nije pridržavao preuzetih obveza iz Ugovora.</w:t>
      </w:r>
    </w:p>
    <w:p w14:paraId="676D487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Korisnik se obvezuje u roku od 15 dana temeljem Odluke o povratu sredstava uplatiti dobivena sredstva sa obračunatim zateznim kamata na poslovni račun Krapinsko-zagorske županije. Odluku o povratu sredstava potpisuje župan Krapinsko-zagorske županije.</w:t>
      </w:r>
    </w:p>
    <w:p w14:paraId="6680E48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79CBE1D6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X.</w:t>
      </w:r>
    </w:p>
    <w:p w14:paraId="1DA3C3EF" w14:textId="77777777" w:rsidR="0007174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Način i rok podnošenja prijave</w:t>
      </w:r>
    </w:p>
    <w:p w14:paraId="2EA05E99" w14:textId="77777777" w:rsidR="0007174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9E4F4" w14:textId="77777777" w:rsidR="00071744" w:rsidRPr="004910D7" w:rsidRDefault="00071744" w:rsidP="00071744">
      <w:pPr>
        <w:contextualSpacing/>
        <w:jc w:val="both"/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</w:pPr>
      <w:r w:rsidRPr="004910D7">
        <w:rPr>
          <w:rFonts w:ascii="Times New Roman" w:eastAsia="Calibri" w:hAnsi="Times New Roman" w:cs="Times New Roman"/>
          <w:sz w:val="24"/>
          <w:szCs w:val="24"/>
        </w:rPr>
        <w:t xml:space="preserve">Zahtjev za potporu s obveznom dokumentacijom podnosi se </w:t>
      </w:r>
      <w:r w:rsidRPr="004910D7"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 xml:space="preserve">elektroničkim putem kroz aplikaciju SOM natječaji. Link na </w:t>
      </w:r>
      <w:r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>Natječaj</w:t>
      </w:r>
      <w:r w:rsidRPr="004910D7"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 xml:space="preserve"> bit će dostupan na službenoj web stranici Krapinsko-zagorske županije (www.kzz.hr), zajedno s Uputama za prijavitelje.</w:t>
      </w:r>
    </w:p>
    <w:p w14:paraId="68B14885" w14:textId="77777777" w:rsidR="00071744" w:rsidRPr="004910D7" w:rsidRDefault="00071744" w:rsidP="00071744">
      <w:pPr>
        <w:contextualSpacing/>
        <w:jc w:val="both"/>
        <w:rPr>
          <w:rFonts w:ascii="Times New Roman" w:hAnsi="Times New Roman" w:cs="Times New Roman"/>
        </w:rPr>
      </w:pPr>
      <w:r w:rsidRPr="004910D7"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 xml:space="preserve">Pitanja vezana za probleme pri registraciji u sustav i tehničkih poteškoća prilikom ispunjavanja i podnošenja prijava isključivo se podnose tehničkoj podršci SOM sustava na adresu elektroničke pošte: </w:t>
      </w:r>
      <w:hyperlink r:id="rId9" w:history="1">
        <w:r w:rsidRPr="004910D7">
          <w:rPr>
            <w:rStyle w:val="Hiperveza"/>
            <w:rFonts w:ascii="Times New Roman" w:eastAsia="Calibri" w:hAnsi="Times New Roman" w:cs="Times New Roman"/>
            <w:spacing w:val="7"/>
            <w:sz w:val="24"/>
            <w:szCs w:val="24"/>
            <w:shd w:val="clear" w:color="auto" w:fill="FFFFFF"/>
          </w:rPr>
          <w:t>podrška@som-system.com</w:t>
        </w:r>
      </w:hyperlink>
      <w:r>
        <w:t>“</w:t>
      </w:r>
    </w:p>
    <w:p w14:paraId="7437F506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FD7CD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2C14">
        <w:rPr>
          <w:rFonts w:ascii="Times New Roman" w:hAnsi="Times New Roman" w:cs="Times New Roman"/>
          <w:b/>
          <w:bCs/>
          <w:sz w:val="24"/>
          <w:szCs w:val="24"/>
          <w:u w:val="single"/>
        </w:rPr>
        <w:t>Prijave 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52C14">
        <w:rPr>
          <w:rFonts w:ascii="Times New Roman" w:hAnsi="Times New Roman" w:cs="Times New Roman"/>
          <w:b/>
          <w:bCs/>
          <w:sz w:val="24"/>
          <w:szCs w:val="24"/>
          <w:u w:val="single"/>
        </w:rPr>
        <w:t>podnos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 w:rsidRPr="00952C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21.05.2026. </w:t>
      </w:r>
      <w:r w:rsidRPr="00952C14">
        <w:rPr>
          <w:rFonts w:ascii="Times New Roman" w:hAnsi="Times New Roman" w:cs="Times New Roman"/>
          <w:b/>
          <w:bCs/>
          <w:sz w:val="24"/>
          <w:szCs w:val="24"/>
          <w:u w:val="single"/>
        </w:rPr>
        <w:t>do 30.09.202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952C14">
        <w:rPr>
          <w:rFonts w:ascii="Times New Roman" w:hAnsi="Times New Roman" w:cs="Times New Roman"/>
          <w:b/>
          <w:bCs/>
          <w:sz w:val="24"/>
          <w:szCs w:val="24"/>
          <w:u w:val="single"/>
        </w:rPr>
        <w:t>. godine ili do iskorištenja raspoloživih sredstava, ovisno o tome što prije nastupi.</w:t>
      </w:r>
    </w:p>
    <w:p w14:paraId="57C6873F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F696E" w14:textId="77777777" w:rsidR="0007174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C903A" w14:textId="77777777" w:rsidR="0007174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5F73B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lastRenderedPageBreak/>
        <w:t>Svi propisani obrasci popun</w:t>
      </w:r>
      <w:r>
        <w:rPr>
          <w:rFonts w:ascii="Times New Roman" w:hAnsi="Times New Roman" w:cs="Times New Roman"/>
          <w:sz w:val="24"/>
          <w:szCs w:val="24"/>
        </w:rPr>
        <w:t xml:space="preserve">njavaju se </w:t>
      </w:r>
      <w:r w:rsidRPr="00952C14">
        <w:rPr>
          <w:rFonts w:ascii="Times New Roman" w:hAnsi="Times New Roman" w:cs="Times New Roman"/>
          <w:sz w:val="24"/>
          <w:szCs w:val="24"/>
        </w:rPr>
        <w:t>na hrvatskom jeziku.</w:t>
      </w:r>
    </w:p>
    <w:p w14:paraId="641A7D81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 xml:space="preserve">Zahtjevi koji se dostave nakon isteka roka ili koji nemaju svu traženu dokumentaciju neće biti razmatrani. </w:t>
      </w:r>
    </w:p>
    <w:p w14:paraId="674DAD5B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Dostavljanjem dokumentacije za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Pr="00952C14">
        <w:rPr>
          <w:rFonts w:ascii="Times New Roman" w:hAnsi="Times New Roman" w:cs="Times New Roman"/>
          <w:sz w:val="24"/>
          <w:szCs w:val="24"/>
        </w:rPr>
        <w:t>, korisnik potpore daje odobrenje Krapinsko-zagorskoj županiji da osnovne podatke o korisniku objavi na službenim mrežnim stranicama Županije.</w:t>
      </w:r>
    </w:p>
    <w:p w14:paraId="2A0060B0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>Krapinsko-zagorska županija će s osobnim podacima postupati sukladno UREDBI (EU) 2016/679 EUROPSKOG PARLAMENTA I VIJEĆA od 27. travnja 2016. godine o zaštiti pojedinca u vezi s obradom osobnih podataka i o slobodnom kretanju takvih podataka te o stavljanju izvan snage Direktive 95/46/EZ (Opća uredba o zaštiti podataka), Zakonom o provedbi Opće uredbe (NN 42/18.).</w:t>
      </w:r>
    </w:p>
    <w:p w14:paraId="6B8A179A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Krapinsko-zagorska županija zadržava pravo poništenja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952C14">
        <w:rPr>
          <w:rFonts w:ascii="Times New Roman" w:hAnsi="Times New Roman" w:cs="Times New Roman"/>
          <w:sz w:val="24"/>
          <w:szCs w:val="24"/>
        </w:rPr>
        <w:t xml:space="preserve"> ukoliko za to postoje opravdani razlozi, bez podmirenje troškova nastalih prijaviteljima.</w:t>
      </w:r>
    </w:p>
    <w:p w14:paraId="2BB85CB8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Dodatne informacije vezane za ovaj poziv mogu se dobiti putem mail adrese. </w:t>
      </w:r>
      <w:hyperlink r:id="rId10" w:history="1">
        <w:r w:rsidRPr="00952C14">
          <w:rPr>
            <w:rStyle w:val="Hiperveza"/>
            <w:rFonts w:ascii="Times New Roman" w:hAnsi="Times New Roman" w:cs="Times New Roman"/>
            <w:sz w:val="24"/>
            <w:szCs w:val="24"/>
          </w:rPr>
          <w:t>gospodarstvo@kzz.hr</w:t>
        </w:r>
      </w:hyperlink>
    </w:p>
    <w:p w14:paraId="5AC9B65D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5FE7B" w14:textId="77777777" w:rsidR="00071744" w:rsidRPr="00952C14" w:rsidRDefault="00071744" w:rsidP="00071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XI.</w:t>
      </w:r>
    </w:p>
    <w:p w14:paraId="6EE06F5A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331CB227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B4FB7" w14:textId="77777777" w:rsidR="00071744" w:rsidRPr="00952C14" w:rsidRDefault="00071744" w:rsidP="00071744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Obrasci (Prilog 1, Prilog 2, Prilog 3, Prilog 4 i Prilog 5) propisani su </w:t>
      </w:r>
      <w:r>
        <w:rPr>
          <w:rFonts w:ascii="Times New Roman" w:hAnsi="Times New Roman" w:cs="Times New Roman"/>
          <w:sz w:val="24"/>
          <w:szCs w:val="24"/>
        </w:rPr>
        <w:t>Natječajem</w:t>
      </w:r>
      <w:r w:rsidRPr="00952C14">
        <w:rPr>
          <w:rFonts w:ascii="Times New Roman" w:hAnsi="Times New Roman" w:cs="Times New Roman"/>
          <w:sz w:val="24"/>
          <w:szCs w:val="24"/>
        </w:rPr>
        <w:t xml:space="preserve"> i kao takvi ne smiju se mijenjati.</w:t>
      </w:r>
    </w:p>
    <w:p w14:paraId="545E1F9B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F6E87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FF621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ŽUPAN</w:t>
      </w:r>
    </w:p>
    <w:p w14:paraId="2F42159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35E9C" w14:textId="77777777" w:rsidR="00071744" w:rsidRPr="00952C14" w:rsidRDefault="00071744" w:rsidP="00071744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C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52C14">
        <w:rPr>
          <w:rFonts w:ascii="Times New Roman" w:hAnsi="Times New Roman" w:cs="Times New Roman"/>
          <w:b/>
          <w:sz w:val="24"/>
          <w:szCs w:val="24"/>
        </w:rPr>
        <w:t>Željko Kolar</w:t>
      </w:r>
    </w:p>
    <w:p w14:paraId="549139D9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515FE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99B25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1CD89" w14:textId="77777777" w:rsidR="00071744" w:rsidRPr="00DD1ACC" w:rsidRDefault="00071744" w:rsidP="00071744">
      <w:pPr>
        <w:pStyle w:val="Bezproreda"/>
        <w:spacing w:line="276" w:lineRule="auto"/>
        <w:rPr>
          <w:rFonts w:ascii="Times New Roman" w:hAnsi="Times New Roman"/>
          <w:noProof/>
          <w:lang w:eastAsia="hr-HR"/>
        </w:rPr>
      </w:pPr>
      <w:r w:rsidRPr="00DD1ACC">
        <w:rPr>
          <w:rFonts w:ascii="Times New Roman" w:hAnsi="Times New Roman"/>
          <w:noProof/>
          <w:lang w:eastAsia="hr-HR"/>
        </w:rPr>
        <w:t xml:space="preserve">DOSTAVITI: </w:t>
      </w:r>
    </w:p>
    <w:p w14:paraId="6686B43E" w14:textId="77777777" w:rsidR="00071744" w:rsidRPr="00DD1ACC" w:rsidRDefault="00071744" w:rsidP="00071744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/>
          <w:noProof/>
          <w:lang w:eastAsia="hr-HR"/>
        </w:rPr>
      </w:pPr>
      <w:r w:rsidRPr="00DD1ACC">
        <w:rPr>
          <w:rFonts w:ascii="Times New Roman" w:hAnsi="Times New Roman"/>
          <w:noProof/>
          <w:lang w:eastAsia="hr-HR"/>
        </w:rPr>
        <w:t xml:space="preserve">Upravni odjel za gospodarstvo, poljoprivredu, turizam, promet i </w:t>
      </w:r>
    </w:p>
    <w:p w14:paraId="58BDA68F" w14:textId="77777777" w:rsidR="00071744" w:rsidRPr="00DD1ACC" w:rsidRDefault="00071744" w:rsidP="00071744">
      <w:pPr>
        <w:pStyle w:val="Bezproreda"/>
        <w:spacing w:line="276" w:lineRule="auto"/>
        <w:ind w:left="720"/>
        <w:rPr>
          <w:rFonts w:ascii="Times New Roman" w:hAnsi="Times New Roman"/>
          <w:noProof/>
          <w:lang w:eastAsia="hr-HR"/>
        </w:rPr>
      </w:pPr>
      <w:r w:rsidRPr="00DD1ACC">
        <w:rPr>
          <w:rFonts w:ascii="Times New Roman" w:hAnsi="Times New Roman"/>
          <w:noProof/>
          <w:lang w:eastAsia="hr-HR"/>
        </w:rPr>
        <w:t>komunalnu infrastrukturu,</w:t>
      </w:r>
    </w:p>
    <w:p w14:paraId="7EAB9556" w14:textId="77777777" w:rsidR="00071744" w:rsidRPr="00DD1ACC" w:rsidRDefault="00071744" w:rsidP="00071744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/>
          <w:noProof/>
          <w:lang w:eastAsia="hr-HR"/>
        </w:rPr>
      </w:pPr>
      <w:r w:rsidRPr="00DD1ACC">
        <w:rPr>
          <w:rFonts w:ascii="Times New Roman" w:hAnsi="Times New Roman"/>
          <w:noProof/>
          <w:lang w:eastAsia="hr-HR"/>
        </w:rPr>
        <w:t>Upravni odjel za financije i proračun,</w:t>
      </w:r>
    </w:p>
    <w:p w14:paraId="178CF8D5" w14:textId="77777777" w:rsidR="00071744" w:rsidRPr="00DD1ACC" w:rsidRDefault="00071744" w:rsidP="00071744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/>
          <w:noProof/>
          <w:lang w:eastAsia="hr-HR"/>
        </w:rPr>
      </w:pPr>
      <w:r w:rsidRPr="00DD1ACC">
        <w:rPr>
          <w:rFonts w:ascii="Times New Roman" w:hAnsi="Times New Roman"/>
          <w:noProof/>
          <w:lang w:eastAsia="hr-HR"/>
        </w:rPr>
        <w:t>Pismohrana, ovdje.</w:t>
      </w:r>
    </w:p>
    <w:p w14:paraId="1632CF22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11754" w14:textId="77777777" w:rsidR="00071744" w:rsidRPr="00952C14" w:rsidRDefault="00071744" w:rsidP="0007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8D265" w14:textId="77777777" w:rsidR="00071744" w:rsidRPr="00952C14" w:rsidRDefault="00071744" w:rsidP="00071744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DC5DAFB" w14:textId="3C788F09" w:rsidR="000E78FB" w:rsidRPr="00B06427" w:rsidRDefault="00071744" w:rsidP="00071744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2DDEBF70" wp14:editId="556305AD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750E7" w14:textId="77777777" w:rsidR="00071744" w:rsidRPr="004853FD" w:rsidRDefault="00071744" w:rsidP="00071744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EB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1A8750E7" w14:textId="77777777" w:rsidR="00071744" w:rsidRPr="004853FD" w:rsidRDefault="00071744" w:rsidP="00071744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11"/>
      <w:footerReference w:type="default" r:id="rId12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C069" w14:textId="77777777" w:rsidR="00637E0B" w:rsidRDefault="00637E0B" w:rsidP="00B06427">
      <w:r>
        <w:separator/>
      </w:r>
    </w:p>
  </w:endnote>
  <w:endnote w:type="continuationSeparator" w:id="0">
    <w:p w14:paraId="6BB00E88" w14:textId="77777777" w:rsidR="00637E0B" w:rsidRDefault="00637E0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D4DC" w14:textId="77777777" w:rsidR="00637E0B" w:rsidRDefault="00637E0B" w:rsidP="00B06427">
      <w:r>
        <w:separator/>
      </w:r>
    </w:p>
  </w:footnote>
  <w:footnote w:type="continuationSeparator" w:id="0">
    <w:p w14:paraId="48CE6B83" w14:textId="77777777" w:rsidR="00637E0B" w:rsidRDefault="00637E0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130"/>
    <w:multiLevelType w:val="hybridMultilevel"/>
    <w:tmpl w:val="72A6DB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176EF0"/>
    <w:multiLevelType w:val="hybridMultilevel"/>
    <w:tmpl w:val="688400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255"/>
    <w:multiLevelType w:val="hybridMultilevel"/>
    <w:tmpl w:val="A46EA86E"/>
    <w:lvl w:ilvl="0" w:tplc="DB86307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0511E1A"/>
    <w:multiLevelType w:val="hybridMultilevel"/>
    <w:tmpl w:val="D3921958"/>
    <w:lvl w:ilvl="0" w:tplc="2EB68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2B5C"/>
    <w:multiLevelType w:val="hybridMultilevel"/>
    <w:tmpl w:val="C72A0812"/>
    <w:lvl w:ilvl="0" w:tplc="17C8CD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62598">
    <w:abstractNumId w:val="2"/>
  </w:num>
  <w:num w:numId="2" w16cid:durableId="1761489337">
    <w:abstractNumId w:val="0"/>
  </w:num>
  <w:num w:numId="3" w16cid:durableId="876431365">
    <w:abstractNumId w:val="3"/>
  </w:num>
  <w:num w:numId="4" w16cid:durableId="833565437">
    <w:abstractNumId w:val="1"/>
  </w:num>
  <w:num w:numId="5" w16cid:durableId="1975213525">
    <w:abstractNumId w:val="5"/>
  </w:num>
  <w:num w:numId="6" w16cid:durableId="1245412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1744"/>
    <w:rsid w:val="000B4403"/>
    <w:rsid w:val="000E78FB"/>
    <w:rsid w:val="0015659A"/>
    <w:rsid w:val="00380337"/>
    <w:rsid w:val="003D4AC4"/>
    <w:rsid w:val="00417158"/>
    <w:rsid w:val="004853FD"/>
    <w:rsid w:val="004F13D0"/>
    <w:rsid w:val="004F34B4"/>
    <w:rsid w:val="005E50AD"/>
    <w:rsid w:val="00637E0B"/>
    <w:rsid w:val="0065582C"/>
    <w:rsid w:val="00664F69"/>
    <w:rsid w:val="00693AB1"/>
    <w:rsid w:val="006C4C94"/>
    <w:rsid w:val="00792FE8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F706F7"/>
    <w:rsid w:val="00FB2B72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Bezproreda">
    <w:name w:val="No Spacing"/>
    <w:link w:val="BezproredaChar"/>
    <w:uiPriority w:val="1"/>
    <w:qFormat/>
    <w:rsid w:val="00071744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0717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spodarstvo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r&#353;ka@som-syste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Kzz SgmInfo</cp:lastModifiedBy>
  <cp:revision>2</cp:revision>
  <cp:lastPrinted>2026-05-15T07:12:00Z</cp:lastPrinted>
  <dcterms:created xsi:type="dcterms:W3CDTF">2026-05-21T10:55:00Z</dcterms:created>
  <dcterms:modified xsi:type="dcterms:W3CDTF">2026-05-21T10:55:00Z</dcterms:modified>
</cp:coreProperties>
</file>